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000004" w14:textId="5EB92561" w:rsidR="0099074E" w:rsidRPr="003E5206" w:rsidRDefault="00D32545" w:rsidP="00D32545">
      <w:pPr>
        <w:jc w:val="center"/>
        <w:rPr>
          <w:rFonts w:ascii="Arial" w:eastAsia="Arial" w:hAnsi="Arial" w:cs="Arial"/>
          <w:b/>
          <w:sz w:val="22"/>
          <w:szCs w:val="22"/>
        </w:rPr>
      </w:pPr>
      <w:r w:rsidRPr="003E5206">
        <w:rPr>
          <w:rFonts w:ascii="Arial" w:eastAsia="Arial" w:hAnsi="Arial" w:cs="Arial"/>
          <w:b/>
          <w:sz w:val="22"/>
          <w:szCs w:val="22"/>
        </w:rPr>
        <w:t>Subconjunctival platelet-rich plasma injection as a therapeutic resource in severe dry eye disease</w:t>
      </w:r>
    </w:p>
    <w:p w14:paraId="68E38B19" w14:textId="77777777" w:rsidR="00D32545" w:rsidRPr="003E5206" w:rsidRDefault="00D32545" w:rsidP="00D32545">
      <w:pPr>
        <w:jc w:val="both"/>
        <w:rPr>
          <w:rFonts w:ascii="Arial" w:eastAsia="Arial" w:hAnsi="Arial" w:cs="Arial"/>
          <w:b/>
          <w:sz w:val="22"/>
          <w:szCs w:val="22"/>
        </w:rPr>
      </w:pPr>
    </w:p>
    <w:p w14:paraId="00000006" w14:textId="1C0F5F3D" w:rsidR="0099074E" w:rsidRPr="003E5206" w:rsidRDefault="00702F41" w:rsidP="00B24CC6">
      <w:pPr>
        <w:pBdr>
          <w:bottom w:val="single" w:sz="18" w:space="1" w:color="auto"/>
        </w:pBdr>
        <w:jc w:val="both"/>
        <w:rPr>
          <w:rFonts w:ascii="Arial" w:eastAsia="Arial" w:hAnsi="Arial" w:cs="Arial"/>
          <w:b/>
          <w:sz w:val="22"/>
          <w:szCs w:val="22"/>
        </w:rPr>
      </w:pPr>
      <w:r w:rsidRPr="003E5206">
        <w:rPr>
          <w:rFonts w:ascii="Arial" w:eastAsia="Arial" w:hAnsi="Arial" w:cs="Arial"/>
          <w:b/>
          <w:sz w:val="22"/>
          <w:szCs w:val="22"/>
        </w:rPr>
        <w:t>Introduction</w:t>
      </w:r>
    </w:p>
    <w:p w14:paraId="56A0E5C0" w14:textId="2CD1233B" w:rsidR="6569F530" w:rsidRPr="003E5206" w:rsidRDefault="6569F530" w:rsidP="6569F530">
      <w:pPr>
        <w:jc w:val="both"/>
        <w:rPr>
          <w:rFonts w:ascii="Arial" w:eastAsia="Arial" w:hAnsi="Arial" w:cs="Arial"/>
          <w:sz w:val="22"/>
          <w:szCs w:val="22"/>
        </w:rPr>
      </w:pPr>
    </w:p>
    <w:p w14:paraId="6D5D8B37" w14:textId="727ACA91" w:rsidR="0099074E" w:rsidRPr="003E5206" w:rsidRDefault="005729E1" w:rsidP="60E4BDB5">
      <w:pPr>
        <w:jc w:val="both"/>
        <w:rPr>
          <w:rFonts w:ascii="Arial" w:hAnsi="Arial" w:cs="Arial"/>
          <w:sz w:val="22"/>
          <w:szCs w:val="22"/>
          <w:lang w:val="es-ES"/>
        </w:rPr>
      </w:pPr>
      <w:r w:rsidRPr="003E5206">
        <w:rPr>
          <w:rFonts w:ascii="Arial" w:eastAsia="Arial" w:hAnsi="Arial" w:cs="Arial"/>
          <w:sz w:val="22"/>
          <w:szCs w:val="22"/>
        </w:rPr>
        <w:t xml:space="preserve">Dry eye disease is a chronic and frequent </w:t>
      </w:r>
      <w:r w:rsidR="007D5CBC" w:rsidRPr="003E5206">
        <w:rPr>
          <w:rFonts w:ascii="Arial" w:eastAsia="Arial" w:hAnsi="Arial" w:cs="Arial"/>
          <w:sz w:val="22"/>
          <w:szCs w:val="22"/>
        </w:rPr>
        <w:t>condition</w:t>
      </w:r>
      <w:r w:rsidRPr="003E5206">
        <w:rPr>
          <w:rFonts w:ascii="Arial" w:eastAsia="Arial" w:hAnsi="Arial" w:cs="Arial"/>
          <w:sz w:val="22"/>
          <w:szCs w:val="22"/>
        </w:rPr>
        <w:t xml:space="preserve"> that affects an average of</w:t>
      </w:r>
      <w:r w:rsidR="002C3CBA" w:rsidRPr="003E5206">
        <w:rPr>
          <w:rFonts w:ascii="Arial" w:eastAsia="Arial" w:hAnsi="Arial" w:cs="Arial"/>
          <w:sz w:val="22"/>
          <w:szCs w:val="22"/>
        </w:rPr>
        <w:t xml:space="preserve"> 35% </w:t>
      </w:r>
      <w:r w:rsidRPr="003E5206">
        <w:rPr>
          <w:rFonts w:ascii="Arial" w:eastAsia="Arial" w:hAnsi="Arial" w:cs="Arial"/>
          <w:sz w:val="22"/>
          <w:szCs w:val="22"/>
        </w:rPr>
        <w:t>of population</w:t>
      </w:r>
      <w:r w:rsidR="003859E0" w:rsidRPr="003E5206">
        <w:rPr>
          <w:rFonts w:ascii="Arial" w:eastAsia="Arial" w:hAnsi="Arial" w:cs="Arial"/>
          <w:sz w:val="22"/>
          <w:szCs w:val="22"/>
        </w:rPr>
        <w:t xml:space="preserve"> </w:t>
      </w:r>
      <w:r w:rsidR="00BF64D3" w:rsidRPr="003E5206">
        <w:rPr>
          <w:rFonts w:ascii="Arial" w:hAnsi="Arial" w:cs="Arial"/>
          <w:sz w:val="22"/>
          <w:szCs w:val="22"/>
        </w:rPr>
        <w:fldChar w:fldCharType="begin" w:fldLock="1"/>
      </w:r>
      <w:r w:rsidR="00BF64D3" w:rsidRPr="003E5206">
        <w:rPr>
          <w:rFonts w:ascii="Arial" w:eastAsia="Arial" w:hAnsi="Arial" w:cs="Arial"/>
          <w:sz w:val="22"/>
          <w:szCs w:val="22"/>
        </w:rPr>
        <w:instrText>ADDIN CSL_CITATION {"citationItems":[{"id":"ITEM-1","itemData":{"DOI":"10.1016/j.jtos.2017.05.008","ISSN":"19375913","abstract":"The goals of the TFOS DEWS II Definition and Classification Subcommittee were to create an evidence-based definition and a contemporary classification system for dry eye disease (DED). The new definition recognizes the multifactorial nature of dry eye as a disease where loss of homeostasis of the tear film is the central pathophysiological concept. Ocular symptoms, as a broader term that encompasses reports of discomfort or visual disturbance, feature in the definition and the key etiologies of tear film instability, hyperosmolarity, and ocular surface inflammation and damage were determined to be important for inclusion in the definition. In the light of new data, neurosensory abnormalities were also included in the definition for the first time. In the classification of DED, recent evidence supports a scheme based on the pathophysiology where aqueous deficient and evaporative dry eye exist as a continuum, such that elements of each are considered in diagnosis and management. Central to the scheme is a positive diagnosis of DED with signs and symptoms, and this is directed towards management to restore homeostasis. The scheme also allows consideration of various related manifestations, such as non-obvious disease involving ocular surface signs without related symptoms, including neurotrophic conditions where dysfunctional sensation exists, and cases where symptoms exist without demonstrable ocular surface signs, including neuropathic pain. This approach is not intended to override clinical assessment and judgment but should prove helpful in guiding clinical management and research.","author":[{"dropping-particle":"","family":"Craig","given":"Jennifer P.","non-dropping-particle":"","parse-names":false,"suffix":""},{"dropping-particle":"","family":"Nichols","given":"Kelly K.","non-dropping-particle":"","parse-names":false,"suffix":""},{"dropping-particle":"","family":"Akpek","given":"Esen K.","non-dropping-particle":"","parse-names":false,"suffix":""},{"dropping-particle":"","family":"Caffery","given":"Barbara","non-dropping-particle":"","parse-names":false,"suffix":""},{"dropping-particle":"","family":"Dua","given":"Harminder S.","non-dropping-particle":"","parse-names":false,"suffix":""},{"dropping-particle":"","family":"Joo","given":"Choun Ki","non-dropping-particle":"","parse-names":false,"suffix":""},{"dropping-particle":"","family":"Liu","given":"Zuguo","non-dropping-particle":"","parse-names":false,"suffix":""},{"dropping-particle":"","family":"Nelson","given":"J. Daniel","non-dropping-particle":"","parse-names":false,"suffix":""},{"dropping-particle":"","family":"Nichols","given":"Jason J.","non-dropping-particle":"","parse-names":false,"suffix":""},{"dropping-particle":"","family":"Tsubota","given":"Kazuo","non-dropping-particle":"","parse-names":false,"suffix":""},{"dropping-particle":"","family":"Stapleton","given":"Fiona","non-dropping-particle":"","parse-names":false,"suffix":""}],"container-title":"Ocular Surface","id":"ITEM-1","issue":"3","issued":{"date-parts":[["2017","7","1"]]},"page":"276-283","publisher":"Elsevier Inc.","title":"TFOS DEWS II Definition and Classification Report","type":"article","volume":"15"},"uris":["http://www.mendeley.com/documents/?uuid=c775c4f4-c1ab-3335-ba70-339c985a05cd"]}],"mendeley":{"formattedCitation":"(1)","plainTextFormattedCitation":"(1)","previouslyFormattedCitation":"(1)"},"properties":{"noteIndex":0},"schema":"https://github.com/citation-style-language/schema/raw/master/csl-citation.json"}</w:instrText>
      </w:r>
      <w:r w:rsidR="00BF64D3" w:rsidRPr="003E5206">
        <w:rPr>
          <w:rFonts w:ascii="Arial" w:eastAsia="Arial" w:hAnsi="Arial" w:cs="Arial"/>
          <w:sz w:val="22"/>
          <w:szCs w:val="22"/>
          <w:lang w:val="es-CO"/>
        </w:rPr>
        <w:fldChar w:fldCharType="separate"/>
      </w:r>
      <w:r w:rsidR="00BF64D3" w:rsidRPr="003E5206">
        <w:rPr>
          <w:rFonts w:ascii="Arial" w:eastAsia="Arial" w:hAnsi="Arial" w:cs="Arial"/>
          <w:noProof/>
          <w:sz w:val="22"/>
          <w:szCs w:val="22"/>
        </w:rPr>
        <w:t>(1)</w:t>
      </w:r>
      <w:r w:rsidR="00BF64D3" w:rsidRPr="003E5206">
        <w:rPr>
          <w:rFonts w:ascii="Arial" w:hAnsi="Arial" w:cs="Arial"/>
          <w:sz w:val="22"/>
          <w:szCs w:val="22"/>
        </w:rPr>
        <w:fldChar w:fldCharType="end"/>
      </w:r>
      <w:r w:rsidR="00BF64D3" w:rsidRPr="003E5206">
        <w:rPr>
          <w:rFonts w:ascii="Arial" w:eastAsia="Arial" w:hAnsi="Arial" w:cs="Arial"/>
          <w:sz w:val="22"/>
          <w:szCs w:val="22"/>
        </w:rPr>
        <w:t>.</w:t>
      </w:r>
      <w:r w:rsidR="002C3CBA" w:rsidRPr="003E5206">
        <w:rPr>
          <w:rFonts w:ascii="Arial" w:eastAsia="Arial" w:hAnsi="Arial" w:cs="Arial"/>
          <w:sz w:val="22"/>
          <w:szCs w:val="22"/>
        </w:rPr>
        <w:t xml:space="preserve"> </w:t>
      </w:r>
      <w:r w:rsidR="00520792" w:rsidRPr="003E5206">
        <w:rPr>
          <w:rFonts w:ascii="Arial" w:eastAsia="Arial" w:hAnsi="Arial" w:cs="Arial"/>
          <w:sz w:val="22"/>
          <w:szCs w:val="22"/>
        </w:rPr>
        <w:t>According to the TFOS DEWS II Definition and Classification Subcommittee, the most recent definition of this disorder is established as a multifactorial disease of the ocular surface characterized by a loss of homeostasis of the tear film, and accompanied by ocular symptoms, in which tear film instability and hyperosmolarity, ocular surface inflammation and damage, and neurosensory abnormalities play etiological roles</w:t>
      </w:r>
      <w:r w:rsidR="0030354C" w:rsidRPr="003E5206">
        <w:rPr>
          <w:rFonts w:ascii="Arial" w:hAnsi="Arial" w:cs="Arial"/>
          <w:sz w:val="22"/>
          <w:szCs w:val="22"/>
        </w:rPr>
        <w:t xml:space="preserve"> </w:t>
      </w:r>
      <w:r w:rsidR="0030354C" w:rsidRPr="003E5206">
        <w:rPr>
          <w:rFonts w:ascii="Arial" w:hAnsi="Arial" w:cs="Arial"/>
          <w:sz w:val="22"/>
          <w:szCs w:val="22"/>
          <w:lang w:val="es-ES"/>
        </w:rPr>
        <w:fldChar w:fldCharType="begin" w:fldLock="1"/>
      </w:r>
      <w:r w:rsidR="0030354C" w:rsidRPr="003E5206">
        <w:rPr>
          <w:rFonts w:ascii="Arial" w:hAnsi="Arial" w:cs="Arial"/>
          <w:sz w:val="22"/>
          <w:szCs w:val="22"/>
        </w:rPr>
        <w:instrText xml:space="preserve">ADDIN CSL_CITATION {"citationItems":[{"id":"ITEM-1","itemData":{"DOI":"10.1016/j.jtos.2017.05.008","ISSN":"19375913","abstract":"The goals of the TFOS DEWS II Definition and Classification Subcommittee were to create an evidence-based definition and a contemporary classification system for dry eye disease (DED). The new definition recognizes the multifactorial nature of dry eye as a disease where loss of homeostasis of the tear film is the central pathophysiological concept. Ocular symptoms, as a broader term that encompasses reports of discomfort or visual disturbance, feature in the definition and the key etiologies of tear film instability, hyperosmolarity, and ocular surface inflammation and damage were determined to be important for inclusion in the definition. In the light of new data, neurosensory abnormalities were also included in the definition for the first time. In the classification of DED, recent evidence supports a scheme based on the pathophysiology where aqueous deficient and evaporative dry eye exist as a continuum, such that elements of each </w:instrText>
      </w:r>
      <w:r w:rsidR="0030354C" w:rsidRPr="003E5206">
        <w:rPr>
          <w:rFonts w:ascii="Arial" w:hAnsi="Arial" w:cs="Arial"/>
          <w:sz w:val="22"/>
          <w:szCs w:val="22"/>
          <w:lang w:val="es-ES"/>
        </w:rPr>
        <w:instrText>are considered in diagnosis and management. Central to the scheme is a positive diagnosis of DED with signs and symptoms, and this is directed towards management to restore homeostasis. The scheme also allows consideration of various related manifestations, such as non-obvious disease involving ocular surface signs without related symptoms, including neurotrophic conditions where dysfunctional sensation exists, and cases where symptoms exist without demonstrable ocular surface signs, including neuropathic pain. This approach is not intended to override clinical assessment and judgment but should prove helpful in guiding clinical management and research.","author":[{"dropping-particle":"","family":"Craig","given":"Jennifer P.","non-dropping-particle":"","parse-names":false,"suffix":""},{"dropping-particle":"","family":"Nichols","given":"Kelly K.","non-dropping-particle":"","parse-names":false,"suffix":""},{"dropping-particle":"","family":"Akpek","given":"Esen K.","non-dropping-particle":"","parse-names":false,"suffix":""},{"dropping-particle":"","family":"Caffery","given":"Barbara","non-dropping-particle":"","parse-names":false,"suffix":""},{"dropping-particle":"","family":"Dua","given":"Harminder S.","non-dropping-particle":"","parse-names":false,"suffix":""},{"dropping-particle":"","family":"Joo","given":"Choun Ki","non-dropping-particle":"","parse-names":false,"suffix":""},{"dropping-particle":"","family":"Liu","given":"Zuguo","non-dropping-particle":"","parse-names":false,"suffix":""},{"dropping-particle":"","family":"Nelson","given":"J. Daniel","non-dropping-particle":"","parse-names":false,"suffix":""},{"dropping-particle":"","family":"Nichols","given":"Jason J.","non-dropping-particle":"","parse-names":false,"suffix":""},{"dropping-particle":"","family":"Tsubota","given":"Kazuo","non-dropping-particle":"","parse-names":false,"suffix":""},{"dropping-particle":"","family":"Stapleton","given":"Fiona","non-dropping-particle":"","parse-names":false,"suffix":""}],"container-title":"Ocular Surface","id":"ITEM-1","issue":"3","issued":{"date-parts":[["2017","7","1"]]},"page":"276-283","publisher":"Elsevier Inc.","title":"TFOS DEWS II Definition and Classification Report","type":"article","volume":"15"},"uris":["http://www.mendeley.com/documents/?uuid=4af857a2-5feb-393e-a981-64537966156d"]},{"id":"ITEM-2","itemData":{"DOI":"10.1016/j.jtos.2017.05.011","ISSN":"19375913","abstract":"The TFOS DEWS II Pathophysiology Subcommittee reviewed the mechanisms involved in the initiation and perpetuation of dry eye disease. Its central mechanism is evaporative water loss leading to hyperosmolar tissue damage. Research in human disease and in animal models has shown that this, either directly or by inducing inflammation, causes a loss of both epithelial and goblet cells. The consequent decrease in surface wettability leads to early tear film breakup and amplifies hyperosmolarity via a Vicious Circle. Pain in dry eye is caused by tear hyperosmolarity, loss of lubrication, inflammatory mediators and neurosensory factors, while visual symptoms arise from tear and ocular surface irregularity. Increased friction targets damage to the lids and ocular surface, resulting in characteristic punctate epithelial keratitis, superior limbic keratoconjunctivitis, filamentary keratitis, lid parallel conjunctival folds, and lid wiper epitheliopathy. Hybrid dry eye disease, with features of both aqueous deficiency and increased evaporation, is common and efforts should be made to determine the relative contribution of each form to the total picture. To this end, practical methods are needed to measure tear evaporation in the clinic, and similarly, methods are needed to measure osmolarity at the tissue level across the ocular surface, to better determine the severity of dry eye. Areas for future research include the role of genetic mechanisms in non-Sjögren syndrome dry eye, the targeting of the terminal duct in meibomian gland disease and the influence of gaze dynamics and the closed eye state on tear stability and ocular surface inflammation.","author":[{"dropping-particle":"","family":"Bron","given":"Anthony J.","non-dropping-particle":"","parse-names":false,"suffix":""},{"dropping-particle":"","family":"Paiva","given":"Cintia S.","non-dropping-particle":"de","parse-names":false,"suffix":""},{"dropping-particle":"","family":"Chauhan","given":"Sunil K.","non-dropping-particle":"","parse-names":false,"suffix":""},{"dropping-particle":"","family":"Bonini","given":"Stefano","non-dropping-particle":"","parse-names":false,"suffix":""},{"dropping-particle":"","family":"Gabison","given":"Eric E.","non-dropping-particle":"","parse-names":false,"suffix":""},{"dropping-particle":"","family":"Jain","given":"Sandeep","non-dropping-particle":"","parse-names":false,"suffix":""},{"dropping-particle":"","family":"Knop","given":"Erich","non-dropping-particle":"","parse-names":false,"suffix":""},{"dropping-particle":"","family":"Markoulli","given":"Maria","non-dropping-particle":"","parse-names":false,"suffix":""},{"dropping-particle":"","family":"Ogawa","given":"Yoko","non-dropping-particle":"","parse-names":false,"suffix":""},{"dropping-particle":"","family":"Perez","given":"Victor","non-dropping-particle":"","parse-names":false,"suffix":""},{"dropping-particle":"","family":"Uchino","given":"Yuichi","non-dropping-particle":"","parse-names":false,"suffix":""},{"dropping-particle":"","family":"Yokoi","given":"Norihiko","non-dropping-particle":"","parse-names":false,"suffix":""},{"dropping-particle":"","family":"Zoukhri","given":"Driss","non-dropping-particle":"","parse-names":false,"suffix":""},{"dropping-particle":"","family":"Sullivan","given":"David A.","non-dropping-particle":"","parse-names":false,"suffix":""}],"container-title":"Ocular Surface","id":"ITEM-2","issue":"3","issued":{"date-parts":[["2017","7","1"]]},"page":"438-510","publisher":"Elsevier Inc.","title":"TFOS DEWS II pathophysiology report","type":"article","volume":"15"},"uris":["http://www.mendeley.com/documents/?uuid=8822df62-0fbc-3dce-8ccf-2684d014fe4c"]}],"mendeley":{"formattedCitation":"(1,2)","plainTextFormattedCitation":"(1,2)"},"properties":{"noteIndex":0},"schema":"https://github.com/citation-style-language/schema/raw/master/csl-citation.json"}</w:instrText>
      </w:r>
      <w:r w:rsidR="0030354C" w:rsidRPr="003E5206">
        <w:rPr>
          <w:rFonts w:ascii="Arial" w:hAnsi="Arial" w:cs="Arial"/>
          <w:sz w:val="22"/>
          <w:szCs w:val="22"/>
          <w:lang w:val="es-ES"/>
        </w:rPr>
        <w:fldChar w:fldCharType="separate"/>
      </w:r>
      <w:r w:rsidR="0030354C" w:rsidRPr="003E5206">
        <w:rPr>
          <w:rFonts w:ascii="Arial" w:hAnsi="Arial" w:cs="Arial"/>
          <w:noProof/>
          <w:sz w:val="22"/>
          <w:szCs w:val="22"/>
          <w:lang w:val="es-ES"/>
        </w:rPr>
        <w:t>(1,2)</w:t>
      </w:r>
      <w:r w:rsidR="0030354C" w:rsidRPr="003E5206">
        <w:rPr>
          <w:rFonts w:ascii="Arial" w:hAnsi="Arial" w:cs="Arial"/>
          <w:sz w:val="22"/>
          <w:szCs w:val="22"/>
          <w:lang w:val="es-ES"/>
        </w:rPr>
        <w:fldChar w:fldCharType="end"/>
      </w:r>
      <w:r w:rsidR="0030354C" w:rsidRPr="003E5206">
        <w:rPr>
          <w:rFonts w:ascii="Arial" w:hAnsi="Arial" w:cs="Arial"/>
          <w:sz w:val="22"/>
          <w:szCs w:val="22"/>
          <w:lang w:val="es-ES"/>
        </w:rPr>
        <w:t>.</w:t>
      </w:r>
    </w:p>
    <w:p w14:paraId="505C36FA" w14:textId="77777777" w:rsidR="0030354C" w:rsidRPr="003E5206" w:rsidRDefault="0030354C" w:rsidP="60E4BDB5">
      <w:pPr>
        <w:jc w:val="both"/>
        <w:rPr>
          <w:rFonts w:ascii="Arial" w:eastAsia="Arial" w:hAnsi="Arial" w:cs="Arial"/>
          <w:noProof/>
          <w:color w:val="FF0000"/>
          <w:sz w:val="22"/>
          <w:szCs w:val="22"/>
          <w:lang w:val="es-ES"/>
        </w:rPr>
      </w:pPr>
    </w:p>
    <w:p w14:paraId="0000000E" w14:textId="46FE4692" w:rsidR="0099074E" w:rsidRPr="003E5206" w:rsidRDefault="00F45313" w:rsidP="67B172A1">
      <w:pPr>
        <w:jc w:val="both"/>
        <w:rPr>
          <w:rFonts w:ascii="Arial" w:eastAsia="Arial" w:hAnsi="Arial" w:cs="Arial"/>
          <w:sz w:val="22"/>
          <w:szCs w:val="22"/>
        </w:rPr>
      </w:pPr>
      <w:r w:rsidRPr="003E5206">
        <w:rPr>
          <w:rFonts w:ascii="Arial" w:eastAsia="Arial" w:hAnsi="Arial" w:cs="Arial"/>
          <w:sz w:val="22"/>
          <w:szCs w:val="22"/>
        </w:rPr>
        <w:t xml:space="preserve">There are two main mechanisms that have been recognized in the ocular surface involvement: tear-deficient and evaporative categories. The first one, also known as hyposecretory dry eye, has traditionally been classified as </w:t>
      </w:r>
      <w:r w:rsidR="00B23A7B" w:rsidRPr="003E5206">
        <w:rPr>
          <w:rFonts w:ascii="Arial" w:eastAsia="Arial" w:hAnsi="Arial" w:cs="Arial"/>
          <w:sz w:val="22"/>
          <w:szCs w:val="22"/>
        </w:rPr>
        <w:t xml:space="preserve">due to </w:t>
      </w:r>
      <w:r w:rsidRPr="003E5206">
        <w:rPr>
          <w:rFonts w:ascii="Arial" w:eastAsia="Arial" w:hAnsi="Arial" w:cs="Arial"/>
          <w:sz w:val="22"/>
          <w:szCs w:val="22"/>
        </w:rPr>
        <w:t xml:space="preserve">Sjögren </w:t>
      </w:r>
      <w:r w:rsidR="00B23A7B" w:rsidRPr="003E5206">
        <w:rPr>
          <w:rFonts w:ascii="Arial" w:eastAsia="Arial" w:hAnsi="Arial" w:cs="Arial"/>
          <w:sz w:val="22"/>
          <w:szCs w:val="22"/>
        </w:rPr>
        <w:t>s</w:t>
      </w:r>
      <w:r w:rsidR="0046360E" w:rsidRPr="003E5206">
        <w:rPr>
          <w:rFonts w:ascii="Arial" w:eastAsia="Arial" w:hAnsi="Arial" w:cs="Arial"/>
          <w:sz w:val="22"/>
          <w:szCs w:val="22"/>
        </w:rPr>
        <w:t>y</w:t>
      </w:r>
      <w:r w:rsidR="00B23A7B" w:rsidRPr="003E5206">
        <w:rPr>
          <w:rFonts w:ascii="Arial" w:eastAsia="Arial" w:hAnsi="Arial" w:cs="Arial"/>
          <w:sz w:val="22"/>
          <w:szCs w:val="22"/>
        </w:rPr>
        <w:t xml:space="preserve">ndrome </w:t>
      </w:r>
      <w:r w:rsidRPr="003E5206">
        <w:rPr>
          <w:rFonts w:ascii="Arial" w:eastAsia="Arial" w:hAnsi="Arial" w:cs="Arial"/>
          <w:sz w:val="22"/>
          <w:szCs w:val="22"/>
        </w:rPr>
        <w:t>and non-Sjögren</w:t>
      </w:r>
      <w:r w:rsidR="00B23A7B" w:rsidRPr="003E5206">
        <w:rPr>
          <w:rFonts w:ascii="Arial" w:eastAsia="Arial" w:hAnsi="Arial" w:cs="Arial"/>
          <w:sz w:val="22"/>
          <w:szCs w:val="22"/>
        </w:rPr>
        <w:t xml:space="preserve"> syndrome</w:t>
      </w:r>
      <w:r w:rsidRPr="003E5206">
        <w:rPr>
          <w:rFonts w:ascii="Arial" w:eastAsia="Arial" w:hAnsi="Arial" w:cs="Arial"/>
          <w:sz w:val="22"/>
          <w:szCs w:val="22"/>
        </w:rPr>
        <w:t xml:space="preserve">, depending on the presence of an autoimmune exocrinopathy background that includes significant lacrimal gland </w:t>
      </w:r>
      <w:r w:rsidR="00A1193E" w:rsidRPr="003E5206">
        <w:rPr>
          <w:rFonts w:ascii="Arial" w:eastAsia="Arial" w:hAnsi="Arial" w:cs="Arial"/>
          <w:sz w:val="22"/>
          <w:szCs w:val="22"/>
        </w:rPr>
        <w:t>affection</w:t>
      </w:r>
      <w:r w:rsidRPr="003E5206">
        <w:rPr>
          <w:rFonts w:ascii="Arial" w:eastAsia="Arial" w:hAnsi="Arial" w:cs="Arial"/>
          <w:sz w:val="22"/>
          <w:szCs w:val="22"/>
        </w:rPr>
        <w:t>. The second one, also called evaporative dry eye, is usually related to meibomian gland dysfunction and tear film instability, being the most frequent form of clinical presentation.</w:t>
      </w:r>
      <w:r w:rsidR="00F818B7" w:rsidRPr="003E5206">
        <w:rPr>
          <w:rFonts w:ascii="Arial" w:eastAsia="Arial" w:hAnsi="Arial" w:cs="Arial"/>
          <w:sz w:val="22"/>
          <w:szCs w:val="22"/>
        </w:rPr>
        <w:t xml:space="preserve"> </w:t>
      </w:r>
      <w:r w:rsidR="00BF64D3" w:rsidRPr="003E5206">
        <w:rPr>
          <w:rFonts w:ascii="Arial" w:hAnsi="Arial" w:cs="Arial"/>
          <w:sz w:val="22"/>
          <w:szCs w:val="22"/>
        </w:rPr>
        <w:fldChar w:fldCharType="begin" w:fldLock="1"/>
      </w:r>
      <w:r w:rsidR="0030354C" w:rsidRPr="003E5206">
        <w:rPr>
          <w:rFonts w:ascii="Arial" w:eastAsia="Arial" w:hAnsi="Arial" w:cs="Arial"/>
          <w:sz w:val="22"/>
          <w:szCs w:val="22"/>
        </w:rPr>
        <w:instrText xml:space="preserve">ADDIN CSL_CITATION {"citationItems":[{"id":"ITEM-1","itemData":{"DOI":"10.1590/S0004-27492010000200021","ISSN":"00042749","abstract":"Recebido para publicação em 30.03.2009 Última versão recebida em 03.12.2009 Aprovação em 19.12.2009 Os autores não possuem interesse comercial ou financei-ro em nenhum produto mencionado no presente ma-nuscrito. Nota Editorial: Depois de concluída a análise do artigo sob sigilo editorial e com a anuência das Dras. Amélia Kamegasawa e Mônica de C. Alves Paula sobre a divulga-ção de seus nomes como revisoras, agradecemos suas participações neste processo. Descritores: Síndrome do olho seco/terapia; Ceratoconjuntivite sicca/terapia; Doenças da córnea/terapia Olho seco é uma doença multifatorial das lágrimas e da superfície ocular que resulta em desconforto, distúrbios visuais e instabilidade do filme lacrimal. É uma desordem comum que afeta principalmente adultos e mulheres e que pode causar impacto na qualidade de vida comparável a enxaqueca, dispnéia e insuficiência renal crônica, dependendo dos sin-tomas ou complicações que a acompanham. Novos conceitos com relação à fisiopatologia, classificação e tratamento têm sido apresentados e devem ser conhecidos pelos oftalmologistas pela sua larga aplicação no dia-a-dia. Estima-se que haja 100 medicações diferentes em uso para olho seco atualmente, além de outros métodos de tratamento, sendo necessário se estabelecer o que é realmente seguro e eficaz. Este texto faz uma revisão sobre etiopatogênese e tratamento da síndrome do Olho Seco. RESUMO","author":[{"dropping-particle":"","family":"Fonseca","given":"Ellen Carrara","non-dropping-particle":"","parse-names":false,"suffix":""},{"dropping-particle":"","family":"Arruda","given":"Gustavo Viani","non-dropping-particle":"","parse-names":false,"suffix":""},{"dropping-particle":"","family":"Rocha","given":"Eduardo Melani","non-dropping-particle":"","parse-names":false,"suffix":""}],"container-title":"Arquivos Brasileiros de Oftalmologia","id":"ITEM-1","issue":"2","issued":{"date-parts":[["2010","3"]]},"page":"197-203","title":"Olho seco: etiopatogenia e tratamento","type":"article-journal","volume":"73"},"uris":["http://www.mendeley.com/documents/?uuid=bee28278-8261-34ca-95a5-98f2014ef278"]},{"id":"ITEM-2","itemData":{"DOI":"10.1016/j.jtos.2017.05.006","ISSN":"19375913","abstract":"The members of the Management and Therapy Subcommittee undertook an evidence-based </w:instrText>
      </w:r>
      <w:r w:rsidR="0030354C" w:rsidRPr="003E5206">
        <w:rPr>
          <w:rFonts w:ascii="Arial" w:eastAsia="Arial" w:hAnsi="Arial" w:cs="Arial"/>
          <w:sz w:val="22"/>
          <w:szCs w:val="22"/>
          <w:lang w:val="es-CO"/>
        </w:rPr>
        <w:instrText>review of current dry eye therapies and management options. Management options reviewed in detail included treatments for tear insufficiency and lid abnormalities, as well as anti-inflammatory medications, surgical approaches, dietary modifications, environmental considerations and complementary therapies. Following this extensive review it became clear that many of the treatments available for the management of dry eye disease lack the necessary Level 1 evidence to support their recommendation, often due to a lack of appropriate masking, randomization or controls and in some cases due to issues with selection bias or inadequate sample size. Reflecting on all available evidence, a staged management algorithm was derived that presents a step-wise approach to implementing the various management and therapeutic options according to disease severity. While this exercise indicated that differentiating between aqueous-deficient and evaporative dry eye disease was critical in selecting the most appropriate management strategy, it also highlighted challenges, based on the limited evidence currently available, in predicting relative benefits of specific management options, in managing the two dry eye disease subtypes. Further evidence is required to support the introduction, and continued use, of many of the treatment options currently available to manage dry eye disease, as well as to inform appropriate treatment starting points and understand treatment specificity in relation to dry eye disease subtype.","author":[{"dropping-particle":"","family":"Jones","given":"Lyndon","non-dropping-particle":"","parse-names":false,"suffix":""},{"dropping-particle":"","family":"Downie","given":"Laura E.","non-dropping-particle":"","parse-names":false,"suffix":""},{"dropping-particle":"","family":"Korb","given":"Donald","non-dropping-particle":"","parse-names":false,"suffix":""},{"dropping-particle":"","family":"Benitez-del-Castillo","given":"Jose M.","non-dropping-particle":"","parse-names":false,"suffix":""},{"dropping-particle":"","family":"Dana","given":"Reza","non-dropping-particle":"","parse-names":false,"suffix":""},{"dropping-particle":"","family":"Deng","given":"Sophie X.","non-dropping-particle":"","parse-names":false,"suffix":""},{"dropping-particle":"","family":"Dong","given":"Pham N.","non-dropping-particle":"","parse-names":false,"suffix":""},{"dropping-particle":"","family":"Geerling","given":"Gerd","non-dropping-particle":"","parse-names":false,"suffix":""},{"dropping-particle":"","</w:instrText>
      </w:r>
      <w:r w:rsidR="0030354C" w:rsidRPr="003E5206">
        <w:rPr>
          <w:rFonts w:ascii="Arial" w:eastAsia="Arial" w:hAnsi="Arial" w:cs="Arial"/>
          <w:sz w:val="22"/>
          <w:szCs w:val="22"/>
        </w:rPr>
        <w:instrText>family":"Hida","given":"Richard Yudi","non-dropping-particle":"","parse-names":false,"suffix":""},{"dropping-particle":"","family":"Liu","given":"Yang","non-dropping-particle":"","parse-names":false,"suffix":""},{"dropping-particle":"","family":"Seo","given":"Kyoung Yul","non-dropping-particle":"","parse-names":false,"suffix":""},{"dropping-particle":"","family":"Tauber","given":"Joseph","non-dropping-particle":"","parse-names":false,"suffix":""},{"dropping-particle":"","family":"Wakamatsu","given":"Tais H.","non-dropping-particle":"","parse-names":false,"suffix":""},{"dropping-particle":"","family":"Xu","given":"Jianjiang","non-dropping-particle":"","parse-names":false,"suffix":""},{"dropping-particle":"","family":"Wolffsohn","given":"James S.","non-dropping-particle":"","parse-names":false,"suffix":""},{"dropping-particle":"","family":"Craig","given":"Jennifer P.","non-dropping-particle":"","parse-names":false,"suffix":""}],"container-title":"Ocular Surface","id":"ITEM-2","issue":"3","issued":{"date-parts":[["2017","7","1"]]},"page":"575-628","publisher":"Elsevier Inc.","title":"TFOS DEWS II Management and Therapy Report","type":"article","volume":"15"},"uris":["http://www.mendeley.com/documents/?uuid=ca062cd0-a23d-3874-adfc-dd2b2b2b0ef8"]}],"mendeley":{"formattedCitation":"(3,4)","plainTextFormattedCitation":"(3,4)","previouslyFormattedCitation":"(2,3)"},"properties":{"noteIndex":0},"schema":"https://github.com/citation-style-language/schema/raw/master/csl-citation.json"}</w:instrText>
      </w:r>
      <w:r w:rsidR="00BF64D3" w:rsidRPr="003E5206">
        <w:rPr>
          <w:rFonts w:ascii="Arial" w:eastAsia="Arial" w:hAnsi="Arial" w:cs="Arial"/>
          <w:sz w:val="22"/>
          <w:szCs w:val="22"/>
          <w:lang w:val="es-CO"/>
        </w:rPr>
        <w:fldChar w:fldCharType="separate"/>
      </w:r>
      <w:r w:rsidR="0030354C" w:rsidRPr="003E5206">
        <w:rPr>
          <w:rFonts w:ascii="Arial" w:eastAsia="Arial" w:hAnsi="Arial" w:cs="Arial"/>
          <w:noProof/>
          <w:sz w:val="22"/>
          <w:szCs w:val="22"/>
        </w:rPr>
        <w:t>(3,4)</w:t>
      </w:r>
      <w:r w:rsidR="00BF64D3" w:rsidRPr="003E5206">
        <w:rPr>
          <w:rFonts w:ascii="Arial" w:hAnsi="Arial" w:cs="Arial"/>
          <w:sz w:val="22"/>
          <w:szCs w:val="22"/>
        </w:rPr>
        <w:fldChar w:fldCharType="end"/>
      </w:r>
      <w:r w:rsidR="00F818B7" w:rsidRPr="003E5206">
        <w:rPr>
          <w:rFonts w:ascii="Arial" w:eastAsia="Arial" w:hAnsi="Arial" w:cs="Arial"/>
          <w:sz w:val="22"/>
          <w:szCs w:val="22"/>
        </w:rPr>
        <w:t>.</w:t>
      </w:r>
    </w:p>
    <w:p w14:paraId="7ABFAC23" w14:textId="263BA830" w:rsidR="00F818B7" w:rsidRPr="003E5206" w:rsidRDefault="00F818B7" w:rsidP="67B172A1">
      <w:pPr>
        <w:jc w:val="both"/>
        <w:rPr>
          <w:rFonts w:ascii="Arial" w:eastAsia="Arial" w:hAnsi="Arial" w:cs="Arial"/>
          <w:sz w:val="22"/>
          <w:szCs w:val="22"/>
        </w:rPr>
      </w:pPr>
    </w:p>
    <w:p w14:paraId="65C0D57C" w14:textId="7E671799" w:rsidR="00F818B7" w:rsidRPr="003E5206" w:rsidRDefault="00AA32E1" w:rsidP="00F818B7">
      <w:pPr>
        <w:jc w:val="both"/>
        <w:rPr>
          <w:rFonts w:ascii="Arial" w:eastAsia="Arial" w:hAnsi="Arial" w:cs="Arial"/>
          <w:sz w:val="22"/>
          <w:szCs w:val="22"/>
        </w:rPr>
      </w:pPr>
      <w:r w:rsidRPr="003E5206">
        <w:rPr>
          <w:rFonts w:ascii="Arial" w:eastAsia="Arial" w:hAnsi="Arial" w:cs="Arial"/>
          <w:sz w:val="22"/>
          <w:szCs w:val="22"/>
        </w:rPr>
        <w:t>The traditional therapeutic approach includes, from its early stages, patient education, environmental modifications and the use of lubricant eye drops with different lubricating and bioadhesive properties to remain longer on the ocular surface, depending on the polymers that constitute them. That improves the symptoms temporarily, with the important limitation of not supplying the biological natural tear functions and the original mechanism of continuous production, resulting in poor and insufficient effectiveness in those cases of moderate and severe disease</w:t>
      </w:r>
      <w:r w:rsidR="00054CA3" w:rsidRPr="003E5206">
        <w:rPr>
          <w:rFonts w:ascii="Arial" w:eastAsia="Arial" w:hAnsi="Arial" w:cs="Arial"/>
          <w:sz w:val="22"/>
          <w:szCs w:val="22"/>
        </w:rPr>
        <w:t xml:space="preserve"> </w:t>
      </w:r>
      <w:r w:rsidR="00F818B7" w:rsidRPr="003E5206">
        <w:rPr>
          <w:rFonts w:ascii="Arial" w:hAnsi="Arial" w:cs="Arial"/>
          <w:sz w:val="22"/>
          <w:szCs w:val="22"/>
        </w:rPr>
        <w:fldChar w:fldCharType="begin" w:fldLock="1"/>
      </w:r>
      <w:r w:rsidR="00F818B7" w:rsidRPr="003E5206">
        <w:rPr>
          <w:rFonts w:ascii="Arial" w:eastAsia="Arial" w:hAnsi="Arial" w:cs="Arial"/>
          <w:sz w:val="22"/>
          <w:szCs w:val="22"/>
        </w:rPr>
        <w:instrText xml:space="preserve">ADDIN CSL_CITATION {"citationItems":[{"id":"ITEM-1","itemData":{"DOI":"10.1590/S0004-27492010000200021","ISSN":"00042749","abstract":"Recebido para publicação em 30.03.2009 Última versão recebida em 03.12.2009 Aprovação em 19.12.2009 Os autores não possuem interesse comercial ou financei-ro em nenhum produto mencionado no presente ma-nuscrito. Nota Editorial: Depois de concluída a análise do artigo sob sigilo editorial e com a anuência das Dras. Amélia Kamegasawa e Mônica de C. Alves Paula sobre a divulga-ção de seus nomes como revisoras, agradecemos suas participações neste processo. Descritores: Síndrome do olho seco/terapia; Ceratoconjuntivite sicca/terapia; Doenças da córnea/terapia Olho seco é uma doença multifatorial das lágrimas e da superfície ocular que resulta em desconforto, distúrbios visuais e instabilidade do filme lacrimal. É uma desordem comum que afeta principalmente adultos e mulheres e que pode causar impacto na qualidade de vida comparável a enxaqueca, dispnéia e insuficiência renal crônica, dependendo dos sin-tomas ou complicações que a acompanham. Novos conceitos com relação à fisiopatologia, classificação e tratamento têm sido apresentados e devem ser conhecidos pelos oftalmologistas pela sua larga aplicação no dia-a-dia. Estima-se que haja 100 medicações diferentes em uso para olho seco atualmente, além de outros métodos de tratamento, sendo necessário se estabelecer o que é realmente seguro e eficaz. Este texto faz uma revisão sobre etiopatogênese e tratamento da síndrome do Olho Seco. RESUMO","author":[{"dropping-particle":"","family":"Fonseca","given":"Ellen Carrara","non-dropping-particle":"","parse-names":false,"suffix":""},{"dropping-particle":"","family":"Arruda","given":"Gustavo Viani","non-dropping-particle":"","parse-names":false,"suffix":""},{"dropping-particle":"","family":"Rocha","given":"Eduardo Melani","non-dropping-particle":"","parse-names":false,"suffix":""}],"container-title":"Arquivos Brasileiros de Oftalmologia","id":"ITEM-1","issue":"2","issued":{"date-parts":[["2010","3"]]},"page":"197-203","title":"Olho seco: etiopatogenia e tratamento","type":"article-journal","volume":"73"},"uris":["http://www.mendeley.com/documents/?uuid=bee28278-8261-34ca-95a5-98f2014ef278"]},{"id":"ITEM-2","itemData":{"DOI":"10.1016/j.jtos.2017.05.006","ISSN":"19375913","abstract":"The members of the Management and Therapy Subcommittee undertook an evidence-based review </w:instrText>
      </w:r>
      <w:r w:rsidR="00F818B7" w:rsidRPr="003E5206">
        <w:rPr>
          <w:rFonts w:ascii="Arial" w:eastAsia="Arial" w:hAnsi="Arial" w:cs="Arial"/>
          <w:sz w:val="22"/>
          <w:szCs w:val="22"/>
          <w:lang w:val="es-CO"/>
        </w:rPr>
        <w:instrText>of current dry eye therapies and management options. Management options reviewed in detail included treatments for tear insufficiency and lid abnormalities, as well as anti-inflammatory medications, surgical approaches, dietary modifications, environmental considerations and complementary therapies. Following this extensive review it became clear that many of the treatments available for the management of dry eye disease lack the necessary Level 1 evidence to support their recommendation, often due to a lack of appropriate masking, randomization or controls and in some cases due to issues with selection bias or inadequate sample size. Reflecting on all available evidence, a staged management algorithm was derived that presents a step-wise approach to implementing the various management and therapeutic options according to disease severity. While this exercise indicated that differentiating between aqueous-deficient and evaporative dry eye disease was critical in selecting the most appropriate management strategy, it also highlighted challenges, based on the limited evidence currently available, in predicting relative benefits of specific management options, in managing the two dry eye disease subtypes. Further evidence is required to support the introduction, and continued use, of many of the treatment options currently available to manage dry eye disease, as well as to inform appropriate treatment starting points and understand treatment specificity in relation to dry eye disease subtype.","author":[{"dropping-particle":"","family":"Jones","given":"Lyndon","non-dropping-particle":"","parse-names":false,"suffix":""},{"dropping-particle":"","family":"Downie","given":"Laura E.","non-dropping-particle":"","parse-names":false,"suffix":""},{"dropping-particle":"","family":"Korb","given":"Donald","non-dropping-particle":"","parse-names":false,"suffix":""},{"dropping-particle":"","family":"Benitez-del-Castillo","given":"Jose M.","non-dropping-particle":"","parse-names":false,"suffix":""},{"dropping-particle":"","family":"Dana","given":"Reza","non-dropping-particle":"","parse-names":false,"suffix":""},{"dropping-particle":"","family":"Deng","given":"Sophie X.","non-dropping-particle":"","parse-names":false,"suffix":""},{"dropping-particle":"","family":"Dong","given":"Pham N.","non-dropping-particle":"","parse-names":false,"suffix":""},{"dropping-particle":"","family":"Geerling","given":"Gerd","non-dropping-particle":"","parse-names":false,"suffix":""},{"dropping-particle":"","</w:instrText>
      </w:r>
      <w:r w:rsidR="00F818B7" w:rsidRPr="003E5206">
        <w:rPr>
          <w:rFonts w:ascii="Arial" w:eastAsia="Arial" w:hAnsi="Arial" w:cs="Arial"/>
          <w:sz w:val="22"/>
          <w:szCs w:val="22"/>
        </w:rPr>
        <w:instrText>family":"Hida","given":"Richard Yudi","non-dropping-particle":"","parse-names":false,"suffix":""},{"dropping-particle":"","family":"Liu","given":"Yang","non-dropping-particle":"","parse-names":false,"suffix":""},{"dropping-particle":"","family":"Seo","given":"Kyoung Yul","non-dropping-particle":"","parse-names":false,"suffix":""},{"dropping-particle":"","family":"Tauber","given":"Joseph","non-dropping-particle":"","parse-names":false,"suffix":""},{"dropping-particle":"","family":"Wakamatsu","given":"Tais H.","non-dropping-particle":"","parse-names":false,"suffix":""},{"dropping-particle":"","family":"Xu","given":"Jianjiang","non-dropping-particle":"","parse-names":false,"suffix":""},{"dropping-particle":"","family":"Wolffsohn","given":"James S.","non-dropping-particle":"","parse-names":false,"suffix":""},{"dropping-particle":"","family":"Craig","given":"Jennifer P.","non-dropping-particle":"","parse-names":false,"suffix":""}],"container-title":"Ocular Surface","id":"ITEM-2","issue":"3","issued":{"date-parts":[["2017","7","1"]]},"page":"575-628","publisher":"Elsevier Inc.","title":"TFOS DEWS II Management and Therapy Report","type":"article","volume":"15"},"uris":["http://www.mendeley.com/documents/?uuid=ca062cd0-a23d-3874-adfc-dd2b2b2b0ef8"]}],"mendeley":{"formattedCitation":"(3,4)","plainTextFormattedCitation":"(3,4)","previouslyFormattedCitation":"(2,3)"},"properties":{"noteIndex":0},"schema":"https://github.com/citation-style-language/schema/raw/master/csl-citation.json"}</w:instrText>
      </w:r>
      <w:r w:rsidR="00F818B7" w:rsidRPr="003E5206">
        <w:rPr>
          <w:rFonts w:ascii="Arial" w:eastAsia="Arial" w:hAnsi="Arial" w:cs="Arial"/>
          <w:sz w:val="22"/>
          <w:szCs w:val="22"/>
          <w:lang w:val="es-CO"/>
        </w:rPr>
        <w:fldChar w:fldCharType="separate"/>
      </w:r>
      <w:r w:rsidR="00F818B7" w:rsidRPr="003E5206">
        <w:rPr>
          <w:rFonts w:ascii="Arial" w:eastAsia="Arial" w:hAnsi="Arial" w:cs="Arial"/>
          <w:noProof/>
          <w:sz w:val="22"/>
          <w:szCs w:val="22"/>
        </w:rPr>
        <w:t>(3,4)</w:t>
      </w:r>
      <w:r w:rsidR="00F818B7" w:rsidRPr="003E5206">
        <w:rPr>
          <w:rFonts w:ascii="Arial" w:hAnsi="Arial" w:cs="Arial"/>
          <w:sz w:val="22"/>
          <w:szCs w:val="22"/>
        </w:rPr>
        <w:fldChar w:fldCharType="end"/>
      </w:r>
      <w:r w:rsidR="00F818B7" w:rsidRPr="003E5206">
        <w:rPr>
          <w:rFonts w:ascii="Arial" w:eastAsia="Arial" w:hAnsi="Arial" w:cs="Arial"/>
          <w:sz w:val="22"/>
          <w:szCs w:val="22"/>
        </w:rPr>
        <w:t>.</w:t>
      </w:r>
    </w:p>
    <w:p w14:paraId="4FF809A5" w14:textId="2AFABDDB" w:rsidR="60E4BDB5" w:rsidRPr="003E5206" w:rsidRDefault="60E4BDB5" w:rsidP="60E4BDB5">
      <w:pPr>
        <w:jc w:val="both"/>
        <w:rPr>
          <w:rFonts w:ascii="Arial" w:eastAsia="Arial" w:hAnsi="Arial" w:cs="Arial"/>
          <w:sz w:val="22"/>
          <w:szCs w:val="22"/>
        </w:rPr>
      </w:pPr>
    </w:p>
    <w:p w14:paraId="352B21E1" w14:textId="20A875F9" w:rsidR="00B24CC6" w:rsidRPr="003E5206" w:rsidRDefault="0060161D" w:rsidP="00B24CC6">
      <w:pPr>
        <w:jc w:val="both"/>
        <w:rPr>
          <w:rFonts w:ascii="Arial" w:eastAsia="Arial" w:hAnsi="Arial" w:cs="Arial"/>
          <w:sz w:val="22"/>
          <w:szCs w:val="22"/>
        </w:rPr>
      </w:pPr>
      <w:r w:rsidRPr="003E5206">
        <w:rPr>
          <w:rFonts w:ascii="Arial" w:eastAsia="Arial" w:hAnsi="Arial" w:cs="Arial"/>
          <w:sz w:val="22"/>
          <w:szCs w:val="22"/>
        </w:rPr>
        <w:t>Considering that the main objective for the integral treatment of dry eye disease should be aimed at the restoration of tear film homeostasis and the well being of the ocular surface, the use of blood derivates has been popularized due to its recognized epithelial trophic capacity, initially with the development and topical application of autologous serum tears</w:t>
      </w:r>
      <w:r w:rsidR="00EF285E" w:rsidRPr="003E5206">
        <w:rPr>
          <w:rFonts w:ascii="Arial" w:eastAsia="Arial" w:hAnsi="Arial" w:cs="Arial"/>
          <w:sz w:val="22"/>
          <w:szCs w:val="22"/>
        </w:rPr>
        <w:t xml:space="preserve"> </w:t>
      </w:r>
      <w:r w:rsidR="00BF64D3" w:rsidRPr="003E5206">
        <w:rPr>
          <w:rFonts w:ascii="Arial" w:hAnsi="Arial" w:cs="Arial"/>
          <w:sz w:val="22"/>
          <w:szCs w:val="22"/>
        </w:rPr>
        <w:fldChar w:fldCharType="begin" w:fldLock="1"/>
      </w:r>
      <w:r w:rsidR="0030354C" w:rsidRPr="003E5206">
        <w:rPr>
          <w:rFonts w:ascii="Arial" w:eastAsia="Arial" w:hAnsi="Arial" w:cs="Arial"/>
          <w:sz w:val="22"/>
          <w:szCs w:val="22"/>
        </w:rPr>
        <w:instrText>ADDIN CSL_CITATION {"citationItems":[{"id":"ITEM-1","itemData":{"DOI":"10.1159/000100933","ISSN":"00303747","abstract":"Background: Autologous platelet-rich plasma (PRP) has been proven to be very effective on tissue regeneration and wound healing. Here we investigate the potential use of PRP in the treatment of symptomatic dry eye. Methods: Eighteen consecutive patients with symptomatic dry eye were treated with topical PRP and followed up for 1 month. Disappearance of subjective symptoms, increase in best corrected visual acuity, tear meniscus, tear breakup time, decrease in inflammation, fluorescein staining and improvement in impression cytology were measured. Results: Symptoms improved significantly in 89% of the patients, 28% improved at least 1 line of best corrected visual acuity. A significant improvement on lachrymal meniscus and conjunctival hyperemia and a decrease or disappearance of corneal fluorescein staining were observed. Impression cytology revealed a significant increase in conjunctival goblet cells. Conclusion: Treatment of patients suffering from significant dry eye symptoms with autologous RPR proved to be very effective, improving both patient symptoms and major clinical signs. Copyright © 2007 S. Karger AG.","author":[{"dropping-particle":"","family":"Alio","given":"Jorge L.","non-dropping-particle":"","parse-names":false,"suffix":""},{"dropping-particle":"","family":"Colecha","given":"José R.","non-dropping-particle":"","parse-names":false,"suffix":""},{"dropping-particle":"","family":"Pastor","given":"Silvia","non-dropping-particle":"","parse-names":false,"suffix":""},{"dropping-particle":"","family":"Rodriguez","given":"Alejandra","non-dropping-particle":"","parse-names":false,"suffix":""},{"dropping-particle":"","family":"Artola","given":"Alberto","non-dropping-particle":"","parse-names":false,"suffix":""}],"container-title":"Ophthalmic Research","id":"ITEM-1","issue":"3","issued":{"date-parts":[["2007","6"]]},"page":"124-129","title":"Symptomatic dry eye treatment with autologous platelet-rich plasma","type":"article-journal","volume":"39"},"uris":["http://www.mendeley.com/documents/?uuid=250d88d1-8b0a-38f2-9678-33ba676cf533"]}],"mendeley":{"formattedCitation":"(5)","plainTextFormattedCitation":"(5)","previouslyFormattedCitation":"(4)"},"properties":{"noteIndex":0},"schema":"https://github.com/citation-style-language/schema/raw/master/csl-citation.json"}</w:instrText>
      </w:r>
      <w:r w:rsidR="00BF64D3" w:rsidRPr="003E5206">
        <w:rPr>
          <w:rFonts w:ascii="Arial" w:eastAsia="Arial" w:hAnsi="Arial" w:cs="Arial"/>
          <w:sz w:val="22"/>
          <w:szCs w:val="22"/>
          <w:lang w:val="es-CO"/>
        </w:rPr>
        <w:fldChar w:fldCharType="separate"/>
      </w:r>
      <w:r w:rsidR="0030354C" w:rsidRPr="003E5206">
        <w:rPr>
          <w:rFonts w:ascii="Arial" w:eastAsia="Arial" w:hAnsi="Arial" w:cs="Arial"/>
          <w:noProof/>
          <w:sz w:val="22"/>
          <w:szCs w:val="22"/>
        </w:rPr>
        <w:t>(5)</w:t>
      </w:r>
      <w:r w:rsidR="00BF64D3" w:rsidRPr="003E5206">
        <w:rPr>
          <w:rFonts w:ascii="Arial" w:hAnsi="Arial" w:cs="Arial"/>
          <w:sz w:val="22"/>
          <w:szCs w:val="22"/>
        </w:rPr>
        <w:fldChar w:fldCharType="end"/>
      </w:r>
      <w:r w:rsidR="002C3CBA" w:rsidRPr="003E5206">
        <w:rPr>
          <w:rFonts w:ascii="Arial" w:eastAsia="Arial" w:hAnsi="Arial" w:cs="Arial"/>
          <w:sz w:val="22"/>
          <w:szCs w:val="22"/>
        </w:rPr>
        <w:t xml:space="preserve">, </w:t>
      </w:r>
      <w:r w:rsidR="00091D31" w:rsidRPr="003E5206">
        <w:rPr>
          <w:rFonts w:ascii="Arial" w:eastAsia="Arial" w:hAnsi="Arial" w:cs="Arial"/>
          <w:sz w:val="22"/>
          <w:szCs w:val="22"/>
        </w:rPr>
        <w:t>and more recently with the use of platelet-rich plasma, which offers as representative advantages: higher concentration of growth factors, vitamins and anti-inflammatory cytokines that results in a structural and functional profile similar to natural human tears (that enhances tissue regenerative phenomena by stimulating important processes of cell proliferation, migration and differentiation), absence of preservatives in their pharmacological presentation and minimum manufacturing requirements</w:t>
      </w:r>
      <w:r w:rsidR="00BF64D3" w:rsidRPr="003E5206">
        <w:rPr>
          <w:rFonts w:ascii="Arial" w:eastAsia="Arial" w:hAnsi="Arial" w:cs="Arial"/>
          <w:sz w:val="22"/>
          <w:szCs w:val="22"/>
        </w:rPr>
        <w:t xml:space="preserve"> </w:t>
      </w:r>
      <w:r w:rsidR="00BF64D3" w:rsidRPr="003E5206">
        <w:rPr>
          <w:rFonts w:ascii="Arial" w:hAnsi="Arial" w:cs="Arial"/>
          <w:sz w:val="22"/>
          <w:szCs w:val="22"/>
        </w:rPr>
        <w:fldChar w:fldCharType="begin" w:fldLock="1"/>
      </w:r>
      <w:r w:rsidR="0030354C" w:rsidRPr="003E5206">
        <w:rPr>
          <w:rFonts w:ascii="Arial" w:eastAsia="Arial" w:hAnsi="Arial" w:cs="Arial"/>
          <w:sz w:val="22"/>
          <w:szCs w:val="22"/>
        </w:rPr>
        <w:instrText>ADDIN CSL_CITATION {"citationItems":[{"id":"ITEM-1","itemData":{"DOI":"10.3109/02713683.2012.674609","ISSN":"02713683","abstract":"Purpose: To determine symptoms improvement in dry eye patients with short-term autologous serum (AS) eyedrops treatment using the standardized Ocular Surface Disease Index (OSDI) survey. Materials and methods: A double-blind randomized crossover clinical trial was conducted, comparing short-term (2 weeks) topical treatment with AS eyedrops diluted at 20% versus conventional artificial tears treatment in adult severe dry eye syndrome (DES) patients. The main outcome measure was assessment of symptoms with OSDI survey. Secondary outcomes were corneal and conjunctival fluorescein staining score of OXFORD and tear break up time (TBUT). The protocol was registered in www.clinicaltrials.gov, ID number: NCT00779987. Results: Twelve severe DES patients were included. Autologous serum treatment showed a statistically significant (p = 0.002) higher OSDI decrease (50%) versus conventional treatment (22%). There were no significant changes in objectives parameters (OXFORD and TBUT). Conclusions: Severe DES patients treated with AS achieve better symptoms improvement</w:instrText>
      </w:r>
      <w:r w:rsidR="0030354C" w:rsidRPr="003E5206">
        <w:rPr>
          <w:rFonts w:ascii="Arial" w:eastAsia="Arial" w:hAnsi="Arial" w:cs="Arial"/>
          <w:sz w:val="22"/>
          <w:szCs w:val="22"/>
          <w:lang w:val="es-CO"/>
        </w:rPr>
        <w:instrText xml:space="preserve"> compared to artificial tears in a short-term treatment. © 2012 Informa Healthcare USA, Inc.","author":[{"dropping-particle":"","family":"Urzua","given":"Cristhian A.","non-dropping-particle":"","parse-names":false,"suffix":""},{"dropping-particle":"","family":"Vasquez","given":"Dario H.","non-dropping-particle":"","parse-names":false,"suffix":""},{"dropping-particle":"","family":"Huidobro","given":"Andres","non-dropping-particle":"","parse-names":false,"suffix":""},{"dropping-particle":"","family":"Hernandez","given":"Helio","non-dropping-particle":"","parse-names":false,"suffix":""},{"dropping-particle":"","family":"Alfaro","given":"Jorge","non-dropping-particle":"","parse-names":false,"suffix":""}],"container-title":"Current Eye Research","id":"ITEM-1","issue":"8","issued":{"date-parts":[["2012","8"]]},"page":"684-688","title":"Randomized double-blind clinical trial of autologous serum versus artificial tears in dry eye syndrome","type":"article-journal","volume":"37"},"uris":["http://www.mendeley.com/documents/?uuid=6299cf3a-3b64-321b-b870-cd7fa21a8355"]},{"id":"ITEM-2","itemData":{"DOI":"10.1097/ICO.0b013e31820d86d6","ISSN":"02773740","abstract":"To evaluate the efficacy of plasma rich in growth factors (PRGF) for the treatment of moderate/severe dry eye.","author":[{"dropping-particle":"","family":"López-Plandolit","given":"Silvia","non-dropping-particle":"","parse-names":false,"suffix":""},{"dropping-particle":"","family":"Morales","given":"María Celia","non-dropping-particle":"","parse-names":false,"suffix":""},{"dropping-particle":"","family":"Freire","given":"Vanesa","non-dropping-particle":"","parse-names":false,"suffix":""},{"dropping-particle":"","family":"Grau","given":"Arturo E.","non-dropping-particle":"","parse-names":false,"suffix":""},{"dropping-particle":"","family":"Durán","given":"Juan A.","non-dropping-particle":"","parse-names":false,"suffix":""}],"container-title":"Cornea","id":"ITEM-2","issue":"12","issued":{"date-parts":[["2011","12"]]},"page":"1312-1317","title":"Efficacy of plasma rich in growth factors for the treatment of dry eye","type":"article-journal","volume":"30"},"uris":["http://www.mendeley.com/documents/?uuid=b2d110ef-f4c1-3f25-baf6-297a978ad23a"]},{"id":"ITEM-3","itemData":{"DOI":"10.2174/138920112800624355","ISSN":"13892010","abstract":"Blood derived products have demonstrated their capacity to enhance healing and stimulate the regeneration of different tissues and this enhancing effect is attributed to the growth factors and bioactive proteins that are synthesized and present in blood. Eye platelet rich plasma (E-PRP) provides higher concentration of essential growth factors and cell adhesion molecules by concentrating platelets in a small volume of plasma as compared with autologous serum, the latter being used widely in ophthalmology for epithelial wound healing of the cornea for the last two decades. These growth factors and cell adhesion molecules have a major role in wound healing and enhance the physiological process at the site of the injury/surgery via eye drops or clot. E-PRP has been used more recently, and has achieved successful outcomes in peer-review articles in the treatment of dormant ulcers (epithelial defects of the cornea that fail to heal), moderate to severe dry eye syndrome, ocular surface syndrome post Laser In Situ Keratomileusis (LASIK), and for surface reconstruction after corneal perforation associated with amniotic membrane transplantation. Preparation of E-PRP in the two available formulations, eyedrops and clot, is inexpens</w:instrText>
      </w:r>
      <w:r w:rsidR="0030354C" w:rsidRPr="003E5206">
        <w:rPr>
          <w:rFonts w:ascii="Arial" w:eastAsia="Arial" w:hAnsi="Arial" w:cs="Arial"/>
          <w:sz w:val="22"/>
          <w:szCs w:val="22"/>
        </w:rPr>
        <w:instrText>ive and easy although it requires following strict sterility conditions using sterile and disposable materials and operating inside a laminar flow hood. No serious adverse effects have been described with the use of these products, and it is generally well tolerated. In summary, Platelet enriched plasma in the form obtained in ophthalmology, E-PRP, is a reliable and effective therapeutic tool to enhance epithelial wound healing in ocular surface disease.","author":[{"dropping-particle":"","family":"L. Alio","given":"Jorge","non-dropping-particle":"","parse-names":false,"suffix":""},{"dropping-particle":"","family":"Arnalich-Montiel","given":"Francisco","non-dropping-particle":"","parse-names":false,"suffix":""},{"dropping-particle":"","family":"E. Rodriguez","given":"Alejandra","non-dropping-particle":"","parse-names":false,"suffix":""}],"container-title":"Current Pharmaceutical Biotechnology","id":"ITEM-3","issue":"7","issued":{"date-parts":[["2012","6","12"]]},"page":"1257-1265","publisher":"Bentham Science Publishers Ltd.","title":"The Role of “Eye Platelet Rich Plasma” (E-Prp) for Wound Healing in Ophthalmology","type":"article-journal","volume":"13"},"uris":["http://www.mendeley.com/documents/?uuid=44c20f6c-d7b7-32b4-b927-e10bdf272cdd"]}],"mendeley":{"formattedCitation":"(6–8)","plainTextFormattedCitation":"(6–8)","previouslyFormattedCitation":"(5–7)"},"properties":{"noteIndex":0},"schema":"https://github.com/citation-style-language/schema/raw/master/csl-citation.json"}</w:instrText>
      </w:r>
      <w:r w:rsidR="00BF64D3" w:rsidRPr="003E5206">
        <w:rPr>
          <w:rFonts w:ascii="Arial" w:eastAsia="Arial" w:hAnsi="Arial" w:cs="Arial"/>
          <w:sz w:val="22"/>
          <w:szCs w:val="22"/>
          <w:lang w:val="es-CO"/>
        </w:rPr>
        <w:fldChar w:fldCharType="separate"/>
      </w:r>
      <w:r w:rsidR="0030354C" w:rsidRPr="003E5206">
        <w:rPr>
          <w:rFonts w:ascii="Arial" w:eastAsia="Arial" w:hAnsi="Arial" w:cs="Arial"/>
          <w:noProof/>
          <w:sz w:val="22"/>
          <w:szCs w:val="22"/>
        </w:rPr>
        <w:t>(6–8)</w:t>
      </w:r>
      <w:r w:rsidR="00BF64D3" w:rsidRPr="003E5206">
        <w:rPr>
          <w:rFonts w:ascii="Arial" w:hAnsi="Arial" w:cs="Arial"/>
          <w:sz w:val="22"/>
          <w:szCs w:val="22"/>
        </w:rPr>
        <w:fldChar w:fldCharType="end"/>
      </w:r>
      <w:r w:rsidR="002C3CBA" w:rsidRPr="003E5206">
        <w:rPr>
          <w:rFonts w:ascii="Arial" w:eastAsia="Arial" w:hAnsi="Arial" w:cs="Arial"/>
          <w:sz w:val="22"/>
          <w:szCs w:val="22"/>
        </w:rPr>
        <w:t>.</w:t>
      </w:r>
    </w:p>
    <w:p w14:paraId="662415BC" w14:textId="03504718" w:rsidR="60E4BDB5" w:rsidRPr="003E5206" w:rsidRDefault="60E4BDB5" w:rsidP="60E4BDB5">
      <w:pPr>
        <w:jc w:val="both"/>
        <w:rPr>
          <w:rFonts w:ascii="Arial" w:eastAsia="Arial" w:hAnsi="Arial" w:cs="Arial"/>
          <w:sz w:val="22"/>
          <w:szCs w:val="22"/>
        </w:rPr>
      </w:pPr>
    </w:p>
    <w:p w14:paraId="00000012" w14:textId="2336C3DC" w:rsidR="0099074E" w:rsidRPr="003E5206" w:rsidRDefault="007F1B46" w:rsidP="00B24CC6">
      <w:pPr>
        <w:jc w:val="both"/>
        <w:rPr>
          <w:rFonts w:ascii="Arial" w:eastAsia="Arial" w:hAnsi="Arial" w:cs="Arial"/>
          <w:sz w:val="22"/>
          <w:szCs w:val="22"/>
        </w:rPr>
      </w:pPr>
      <w:r w:rsidRPr="003E5206">
        <w:rPr>
          <w:rFonts w:ascii="Arial" w:eastAsia="Arial" w:hAnsi="Arial" w:cs="Arial"/>
          <w:sz w:val="22"/>
          <w:szCs w:val="22"/>
        </w:rPr>
        <w:t xml:space="preserve">There is strong and growing scientific evidence in the literature related to the use of platelet-rich plasma as a promising therapeutic strategy for those cases of moderate to severe dry eye disease. In the experimental study conducted by </w:t>
      </w:r>
      <w:r w:rsidR="004A77C3" w:rsidRPr="003E5206">
        <w:rPr>
          <w:rFonts w:ascii="Arial" w:eastAsia="Arial" w:hAnsi="Arial" w:cs="Arial"/>
          <w:sz w:val="22"/>
          <w:szCs w:val="22"/>
        </w:rPr>
        <w:t>A</w:t>
      </w:r>
      <w:r w:rsidRPr="003E5206">
        <w:rPr>
          <w:rFonts w:ascii="Arial" w:eastAsia="Arial" w:hAnsi="Arial" w:cs="Arial"/>
          <w:sz w:val="22"/>
          <w:szCs w:val="22"/>
        </w:rPr>
        <w:t>vila and collaborators, the use of platelet-rich plasma injection into the lacrimal gland was evaluated as an alternative treatment for patients with severe dry eye, by showing significant improvement in the subjective results and objective clinical criteria related to the analysis of tear film quality</w:t>
      </w:r>
      <w:r w:rsidR="00AB5388" w:rsidRPr="003E5206">
        <w:rPr>
          <w:rFonts w:ascii="Arial" w:eastAsia="Arial" w:hAnsi="Arial" w:cs="Arial"/>
          <w:sz w:val="22"/>
          <w:szCs w:val="22"/>
        </w:rPr>
        <w:t xml:space="preserve"> </w:t>
      </w:r>
      <w:r w:rsidR="00BF64D3" w:rsidRPr="003E5206">
        <w:rPr>
          <w:rFonts w:ascii="Arial" w:hAnsi="Arial" w:cs="Arial"/>
          <w:sz w:val="22"/>
          <w:szCs w:val="22"/>
        </w:rPr>
        <w:fldChar w:fldCharType="begin" w:fldLock="1"/>
      </w:r>
      <w:r w:rsidR="0030354C" w:rsidRPr="003E5206">
        <w:rPr>
          <w:rFonts w:ascii="Arial" w:eastAsia="Arial" w:hAnsi="Arial" w:cs="Arial"/>
          <w:sz w:val="22"/>
          <w:szCs w:val="22"/>
        </w:rPr>
        <w:instrText>ADDIN CSL_CITATION {"citationItems":[{"id":"ITEM-1","itemData":{"DOI":"10.1136/bjophthalmol-2018-312072","ISSN":"14682079","abstract":"BACKGROUND To evaluate the effectiveness of platelet-rich plasma (PRP) injections in the treatment of severe dry eye. METHODS This prospective, intervention study included patients with severe dry eye who had been diagnosed with Sjogren syndrome. Patients were divided into two groups. The intervention group received PRP (n=15) injections on days 0, 30, 60 and 90, as well as hyaluronic acid five times per day. The comparison group received hyaluronic acid (n=15) five times per day. Subjects were measured at baseline and at 30, 60 and 90 days. The primary outcome measures were changes in corneal staining according to the Oxford classification, results of the Schirmer test and tear break-up time (TBUT). The secondary outcome measures were changes in the Ocular Surface Disease Index (OSDI) and treatment compliance. RESULTS All subjects completed the study. The intervention group showed improvements in all primary outcome measures when compared with the control group, including a reduction in corneal staining (p&lt;0.001), increase in the mean Schirmer value from 5.6±0.7 to 9.0±1.1 mm, and an increase in TBUT from 4.0±0.4 to 6.4±0.4 s at day 90. An improvement in subjective OSDI values was also found. CONCLUSION PRP injection is safe and effective in improving tear parameters as well as subjective parameters, and was found to be superior to hyaluronic acid alone in the management of patients with severe dry eye. This represent a novel alternative treatment for severe dry eye. TRIAL REGISTRATION NUMBER NCT02257957.","author":[{"dropping-particle":"","family":"Avila","given":"Marcel Y.","non-dropping-particle":"","parse-names":false,"suffix":""},{"dropping-particle":"","family":"Igua","given":"Angela M.","non-dropping-particle":"","parse-names":false,"suffix":""},{"dropping-particle":"","family":"Mora","given":"Amparo M.","non-dropping-particle":"","parse-names":false,"suffix":""}],"container-title":"British Journal of Ophthalmology","id":"ITEM-1","issue":"5","issued":{"date-parts":[["2019","5","1"]]},"page":"648-653","publisher":"BMJ Publishing Group","title":"Randomised, prospective clinical trial of platelet-rich plasma injection in the management of severe dry eye","type":"article-journal","volume":"103"},"uris":["http://www.mendeley.com/documents/?uuid=741b9cd6-8d6a-3d7e-ad79-cdd40382ea3b"]}],"mendeley":{"formattedCitation":"(9)","plainTextFormattedCitation":"(9)","previouslyFormattedCitation":"(8)"},"properties":{"noteIndex":0},"schema":"https://github.com/citation-style-language/schema/raw/master/csl-citation.json"}</w:instrText>
      </w:r>
      <w:r w:rsidR="00BF64D3" w:rsidRPr="003E5206">
        <w:rPr>
          <w:rFonts w:ascii="Arial" w:eastAsia="Arial" w:hAnsi="Arial" w:cs="Arial"/>
          <w:sz w:val="22"/>
          <w:szCs w:val="22"/>
          <w:lang w:val="es-CO"/>
        </w:rPr>
        <w:fldChar w:fldCharType="separate"/>
      </w:r>
      <w:r w:rsidR="0030354C" w:rsidRPr="003E5206">
        <w:rPr>
          <w:rFonts w:ascii="Arial" w:eastAsia="Arial" w:hAnsi="Arial" w:cs="Arial"/>
          <w:noProof/>
          <w:sz w:val="22"/>
          <w:szCs w:val="22"/>
        </w:rPr>
        <w:t>(9)</w:t>
      </w:r>
      <w:r w:rsidR="00BF64D3" w:rsidRPr="003E5206">
        <w:rPr>
          <w:rFonts w:ascii="Arial" w:hAnsi="Arial" w:cs="Arial"/>
          <w:sz w:val="22"/>
          <w:szCs w:val="22"/>
        </w:rPr>
        <w:fldChar w:fldCharType="end"/>
      </w:r>
      <w:r w:rsidR="002C3CBA" w:rsidRPr="003E5206">
        <w:rPr>
          <w:rFonts w:ascii="Arial" w:eastAsia="Arial" w:hAnsi="Arial" w:cs="Arial"/>
          <w:sz w:val="22"/>
          <w:szCs w:val="22"/>
        </w:rPr>
        <w:t>.</w:t>
      </w:r>
    </w:p>
    <w:p w14:paraId="77515F77" w14:textId="082EB783" w:rsidR="60E4BDB5" w:rsidRPr="003E5206" w:rsidRDefault="60E4BDB5" w:rsidP="60E4BDB5">
      <w:pPr>
        <w:jc w:val="both"/>
        <w:rPr>
          <w:rFonts w:ascii="Arial" w:eastAsia="Arial" w:hAnsi="Arial" w:cs="Arial"/>
          <w:sz w:val="22"/>
          <w:szCs w:val="22"/>
        </w:rPr>
      </w:pPr>
    </w:p>
    <w:p w14:paraId="00000015" w14:textId="362A0395" w:rsidR="0099074E" w:rsidRPr="003E5206" w:rsidRDefault="002A258E" w:rsidP="00B24CC6">
      <w:pPr>
        <w:jc w:val="both"/>
        <w:rPr>
          <w:rFonts w:ascii="Arial" w:eastAsia="Arial" w:hAnsi="Arial" w:cs="Arial"/>
          <w:sz w:val="22"/>
          <w:szCs w:val="22"/>
        </w:rPr>
      </w:pPr>
      <w:r w:rsidRPr="003E5206">
        <w:rPr>
          <w:rFonts w:ascii="Arial" w:eastAsia="Arial" w:hAnsi="Arial" w:cs="Arial"/>
          <w:sz w:val="22"/>
          <w:szCs w:val="22"/>
        </w:rPr>
        <w:t xml:space="preserve">We present the following fully documented case where we evaluated the use of subconjunctival platelet-rich plasma injection in a patient with rheumatoid arthritis, </w:t>
      </w:r>
      <w:r w:rsidR="00395070" w:rsidRPr="003E5206">
        <w:rPr>
          <w:rFonts w:ascii="Arial" w:eastAsia="Arial" w:hAnsi="Arial" w:cs="Arial"/>
          <w:sz w:val="22"/>
          <w:szCs w:val="22"/>
        </w:rPr>
        <w:t>s</w:t>
      </w:r>
      <w:r w:rsidRPr="003E5206">
        <w:rPr>
          <w:rFonts w:ascii="Arial" w:eastAsia="Arial" w:hAnsi="Arial" w:cs="Arial"/>
          <w:sz w:val="22"/>
          <w:szCs w:val="22"/>
        </w:rPr>
        <w:t xml:space="preserve">jögren syndrome, history of refractive surgery and documentation of severe dry eye disease refractory to treatment, in whom </w:t>
      </w:r>
      <w:r w:rsidRPr="003E5206">
        <w:rPr>
          <w:rFonts w:ascii="Arial" w:eastAsia="Arial" w:hAnsi="Arial" w:cs="Arial"/>
          <w:sz w:val="22"/>
          <w:szCs w:val="22"/>
        </w:rPr>
        <w:lastRenderedPageBreak/>
        <w:t xml:space="preserve">there were applied the different and available related options in the extensive pharmacological and interventional therapeutic arsenal without </w:t>
      </w:r>
      <w:r w:rsidR="00610DE2" w:rsidRPr="003E5206">
        <w:rPr>
          <w:rFonts w:ascii="Arial" w:eastAsia="Arial" w:hAnsi="Arial" w:cs="Arial"/>
          <w:sz w:val="22"/>
          <w:szCs w:val="22"/>
        </w:rPr>
        <w:t xml:space="preserve">prior </w:t>
      </w:r>
      <w:r w:rsidRPr="003E5206">
        <w:rPr>
          <w:rFonts w:ascii="Arial" w:eastAsia="Arial" w:hAnsi="Arial" w:cs="Arial"/>
          <w:sz w:val="22"/>
          <w:szCs w:val="22"/>
        </w:rPr>
        <w:t>significant clinical improvement.</w:t>
      </w:r>
    </w:p>
    <w:p w14:paraId="12EA30F6" w14:textId="77777777" w:rsidR="002A258E" w:rsidRPr="003E5206" w:rsidRDefault="002A258E" w:rsidP="00B24CC6">
      <w:pPr>
        <w:jc w:val="both"/>
        <w:rPr>
          <w:rFonts w:ascii="Arial" w:eastAsia="Arial" w:hAnsi="Arial" w:cs="Arial"/>
          <w:sz w:val="22"/>
          <w:szCs w:val="22"/>
        </w:rPr>
      </w:pPr>
    </w:p>
    <w:p w14:paraId="00000017" w14:textId="2EF906D3" w:rsidR="0099074E" w:rsidRPr="003E5206" w:rsidRDefault="00702F41" w:rsidP="60E4BDB5">
      <w:pPr>
        <w:pBdr>
          <w:bottom w:val="single" w:sz="18" w:space="1" w:color="auto"/>
        </w:pBdr>
        <w:jc w:val="both"/>
        <w:rPr>
          <w:rFonts w:ascii="Arial" w:eastAsia="Arial" w:hAnsi="Arial" w:cs="Arial"/>
          <w:b/>
          <w:bCs/>
          <w:sz w:val="22"/>
          <w:szCs w:val="22"/>
        </w:rPr>
      </w:pPr>
      <w:r w:rsidRPr="003E5206">
        <w:rPr>
          <w:rFonts w:ascii="Arial" w:eastAsia="Arial" w:hAnsi="Arial" w:cs="Arial"/>
          <w:b/>
          <w:sz w:val="22"/>
          <w:szCs w:val="22"/>
        </w:rPr>
        <w:t>Case description</w:t>
      </w:r>
    </w:p>
    <w:p w14:paraId="1300D993" w14:textId="249C1B9E" w:rsidR="60E4BDB5" w:rsidRPr="003E5206" w:rsidRDefault="60E4BDB5" w:rsidP="60E4BDB5">
      <w:pPr>
        <w:jc w:val="both"/>
        <w:rPr>
          <w:rFonts w:ascii="Arial" w:eastAsia="Arial" w:hAnsi="Arial" w:cs="Arial"/>
          <w:sz w:val="22"/>
          <w:szCs w:val="22"/>
        </w:rPr>
      </w:pPr>
    </w:p>
    <w:p w14:paraId="7D6645E3" w14:textId="5210B578" w:rsidR="00295B16" w:rsidRPr="003E5206" w:rsidRDefault="00A10DA4" w:rsidP="2A492573">
      <w:pPr>
        <w:jc w:val="both"/>
        <w:rPr>
          <w:rFonts w:ascii="Arial" w:eastAsia="Arial" w:hAnsi="Arial" w:cs="Arial"/>
          <w:sz w:val="22"/>
          <w:szCs w:val="22"/>
        </w:rPr>
      </w:pPr>
      <w:r w:rsidRPr="003E5206">
        <w:rPr>
          <w:rFonts w:ascii="Arial" w:eastAsia="Arial" w:hAnsi="Arial" w:cs="Arial"/>
          <w:sz w:val="22"/>
          <w:szCs w:val="22"/>
        </w:rPr>
        <w:t xml:space="preserve">The patient is a woman </w:t>
      </w:r>
      <w:r w:rsidR="00B50642" w:rsidRPr="003E5206">
        <w:rPr>
          <w:rFonts w:ascii="Arial" w:eastAsia="Arial" w:hAnsi="Arial" w:cs="Arial"/>
          <w:sz w:val="22"/>
          <w:szCs w:val="22"/>
        </w:rPr>
        <w:t>in her mid</w:t>
      </w:r>
      <w:r w:rsidR="002346F7" w:rsidRPr="003E5206">
        <w:rPr>
          <w:rFonts w:ascii="Arial" w:eastAsia="Arial" w:hAnsi="Arial" w:cs="Arial"/>
          <w:sz w:val="22"/>
          <w:szCs w:val="22"/>
        </w:rPr>
        <w:t>-</w:t>
      </w:r>
      <w:r w:rsidR="00B50642" w:rsidRPr="003E5206">
        <w:rPr>
          <w:rFonts w:ascii="Arial" w:eastAsia="Arial" w:hAnsi="Arial" w:cs="Arial"/>
          <w:sz w:val="22"/>
          <w:szCs w:val="22"/>
        </w:rPr>
        <w:t xml:space="preserve">forties </w:t>
      </w:r>
      <w:r w:rsidR="002A67A7" w:rsidRPr="003E5206">
        <w:rPr>
          <w:rFonts w:ascii="Arial" w:eastAsia="Arial" w:hAnsi="Arial" w:cs="Arial"/>
          <w:sz w:val="22"/>
          <w:szCs w:val="22"/>
        </w:rPr>
        <w:t>with a history of rheumatoid arthritis</w:t>
      </w:r>
      <w:r w:rsidR="00037A41" w:rsidRPr="003E5206">
        <w:rPr>
          <w:rFonts w:ascii="Arial" w:eastAsia="Arial" w:hAnsi="Arial" w:cs="Arial"/>
          <w:sz w:val="22"/>
          <w:szCs w:val="22"/>
        </w:rPr>
        <w:t xml:space="preserve"> treated with methotrexate and refractive surgery in both eyes </w:t>
      </w:r>
      <w:r w:rsidR="00395993" w:rsidRPr="003E5206">
        <w:rPr>
          <w:rFonts w:ascii="Arial" w:eastAsia="Arial" w:hAnsi="Arial" w:cs="Arial"/>
          <w:sz w:val="22"/>
          <w:szCs w:val="22"/>
        </w:rPr>
        <w:t xml:space="preserve">more than 15 years ago. </w:t>
      </w:r>
      <w:r w:rsidR="002A67A7" w:rsidRPr="003E5206">
        <w:rPr>
          <w:rFonts w:ascii="Arial" w:eastAsia="Arial" w:hAnsi="Arial" w:cs="Arial"/>
          <w:sz w:val="22"/>
          <w:szCs w:val="22"/>
        </w:rPr>
        <w:t xml:space="preserve"> </w:t>
      </w:r>
      <w:r w:rsidR="00A954E9" w:rsidRPr="003E5206">
        <w:rPr>
          <w:rFonts w:ascii="Arial" w:eastAsia="Arial" w:hAnsi="Arial" w:cs="Arial"/>
          <w:sz w:val="22"/>
          <w:szCs w:val="22"/>
        </w:rPr>
        <w:t xml:space="preserve">The patient </w:t>
      </w:r>
      <w:r w:rsidR="00E46439" w:rsidRPr="003E5206">
        <w:rPr>
          <w:rFonts w:ascii="Arial" w:eastAsia="Arial" w:hAnsi="Arial" w:cs="Arial"/>
          <w:sz w:val="22"/>
          <w:szCs w:val="22"/>
        </w:rPr>
        <w:t xml:space="preserve">consulted </w:t>
      </w:r>
      <w:r w:rsidR="007D3C9E" w:rsidRPr="003E5206">
        <w:rPr>
          <w:rFonts w:ascii="Arial" w:eastAsia="Arial" w:hAnsi="Arial" w:cs="Arial"/>
          <w:sz w:val="22"/>
          <w:szCs w:val="22"/>
        </w:rPr>
        <w:t>with</w:t>
      </w:r>
      <w:r w:rsidR="00E46439" w:rsidRPr="003E5206">
        <w:rPr>
          <w:rFonts w:ascii="Arial" w:eastAsia="Arial" w:hAnsi="Arial" w:cs="Arial"/>
          <w:sz w:val="22"/>
          <w:szCs w:val="22"/>
        </w:rPr>
        <w:t xml:space="preserve"> our department complaining </w:t>
      </w:r>
      <w:r w:rsidR="007D3C9E" w:rsidRPr="003E5206">
        <w:rPr>
          <w:rFonts w:ascii="Arial" w:eastAsia="Arial" w:hAnsi="Arial" w:cs="Arial"/>
          <w:sz w:val="22"/>
          <w:szCs w:val="22"/>
        </w:rPr>
        <w:t>about</w:t>
      </w:r>
      <w:r w:rsidR="00E62840" w:rsidRPr="003E5206">
        <w:rPr>
          <w:rFonts w:ascii="Arial" w:eastAsia="Arial" w:hAnsi="Arial" w:cs="Arial"/>
          <w:sz w:val="22"/>
          <w:szCs w:val="22"/>
        </w:rPr>
        <w:t xml:space="preserve"> xerophthalmia, </w:t>
      </w:r>
      <w:r w:rsidR="00691A5C" w:rsidRPr="003E5206">
        <w:rPr>
          <w:rFonts w:ascii="Arial" w:eastAsia="Arial" w:hAnsi="Arial" w:cs="Arial"/>
          <w:sz w:val="22"/>
          <w:szCs w:val="22"/>
        </w:rPr>
        <w:t>ocular pain, red eyes, foreign body sensation</w:t>
      </w:r>
      <w:r w:rsidR="005767E7" w:rsidRPr="003E5206">
        <w:rPr>
          <w:rFonts w:ascii="Arial" w:eastAsia="Arial" w:hAnsi="Arial" w:cs="Arial"/>
          <w:sz w:val="22"/>
          <w:szCs w:val="22"/>
        </w:rPr>
        <w:t>, xerostom</w:t>
      </w:r>
      <w:r w:rsidR="00733750" w:rsidRPr="003E5206">
        <w:rPr>
          <w:rFonts w:ascii="Arial" w:eastAsia="Arial" w:hAnsi="Arial" w:cs="Arial"/>
          <w:sz w:val="22"/>
          <w:szCs w:val="22"/>
        </w:rPr>
        <w:t>ia</w:t>
      </w:r>
      <w:r w:rsidR="00875FB3" w:rsidRPr="003E5206">
        <w:rPr>
          <w:rFonts w:ascii="Arial" w:eastAsia="Arial" w:hAnsi="Arial" w:cs="Arial"/>
          <w:sz w:val="22"/>
          <w:szCs w:val="22"/>
        </w:rPr>
        <w:t>,</w:t>
      </w:r>
      <w:r w:rsidR="005767E7" w:rsidRPr="003E5206">
        <w:rPr>
          <w:rFonts w:ascii="Arial" w:eastAsia="Arial" w:hAnsi="Arial" w:cs="Arial"/>
          <w:sz w:val="22"/>
          <w:szCs w:val="22"/>
        </w:rPr>
        <w:t xml:space="preserve"> and general dryness sensation.</w:t>
      </w:r>
    </w:p>
    <w:p w14:paraId="54976F78" w14:textId="679F20C9" w:rsidR="005C4F64" w:rsidRPr="003E5206" w:rsidRDefault="005C4F64" w:rsidP="2A492573">
      <w:pPr>
        <w:jc w:val="both"/>
        <w:rPr>
          <w:rFonts w:ascii="Arial" w:eastAsia="Arial" w:hAnsi="Arial" w:cs="Arial"/>
          <w:sz w:val="22"/>
          <w:szCs w:val="22"/>
        </w:rPr>
      </w:pPr>
    </w:p>
    <w:p w14:paraId="72049A0D" w14:textId="0ED0D6A1" w:rsidR="004059DC" w:rsidRPr="003E5206" w:rsidRDefault="005D74E6" w:rsidP="2A492573">
      <w:pPr>
        <w:jc w:val="both"/>
        <w:rPr>
          <w:rFonts w:ascii="Arial" w:eastAsia="Arial" w:hAnsi="Arial" w:cs="Arial"/>
          <w:sz w:val="22"/>
          <w:szCs w:val="22"/>
        </w:rPr>
      </w:pPr>
      <w:r w:rsidRPr="003E5206">
        <w:rPr>
          <w:rFonts w:ascii="Arial" w:eastAsia="Arial" w:hAnsi="Arial" w:cs="Arial"/>
          <w:sz w:val="22"/>
          <w:szCs w:val="22"/>
        </w:rPr>
        <w:t xml:space="preserve">She was being followed by </w:t>
      </w:r>
      <w:r w:rsidR="001A5781" w:rsidRPr="003E5206">
        <w:rPr>
          <w:rFonts w:ascii="Arial" w:eastAsia="Arial" w:hAnsi="Arial" w:cs="Arial"/>
          <w:sz w:val="22"/>
          <w:szCs w:val="22"/>
        </w:rPr>
        <w:t xml:space="preserve">the service of ophthalmology and rheumatology </w:t>
      </w:r>
      <w:r w:rsidR="003D54EA" w:rsidRPr="003E5206">
        <w:rPr>
          <w:rFonts w:ascii="Arial" w:eastAsia="Arial" w:hAnsi="Arial" w:cs="Arial"/>
          <w:sz w:val="22"/>
          <w:szCs w:val="22"/>
        </w:rPr>
        <w:t xml:space="preserve">since the beginning of the symptoms. When she first attended </w:t>
      </w:r>
      <w:r w:rsidR="00CF1E71" w:rsidRPr="003E5206">
        <w:rPr>
          <w:rFonts w:ascii="Arial" w:eastAsia="Arial" w:hAnsi="Arial" w:cs="Arial"/>
          <w:sz w:val="22"/>
          <w:szCs w:val="22"/>
        </w:rPr>
        <w:t xml:space="preserve">the clinic she had </w:t>
      </w:r>
      <w:r w:rsidR="00D115AA" w:rsidRPr="003E5206">
        <w:rPr>
          <w:rFonts w:ascii="Arial" w:eastAsia="Arial" w:hAnsi="Arial" w:cs="Arial"/>
          <w:sz w:val="22"/>
          <w:szCs w:val="22"/>
        </w:rPr>
        <w:t xml:space="preserve">thorough lab tests which evidenced positive </w:t>
      </w:r>
      <w:r w:rsidR="001C3D3A" w:rsidRPr="003E5206">
        <w:rPr>
          <w:rFonts w:ascii="Arial" w:eastAsia="Arial" w:hAnsi="Arial" w:cs="Arial"/>
          <w:sz w:val="22"/>
          <w:szCs w:val="22"/>
        </w:rPr>
        <w:t>antinuclear antibodies, positive anti</w:t>
      </w:r>
      <w:r w:rsidR="00875FB3" w:rsidRPr="003E5206">
        <w:rPr>
          <w:rFonts w:ascii="Arial" w:eastAsia="Arial" w:hAnsi="Arial" w:cs="Arial"/>
          <w:sz w:val="22"/>
          <w:szCs w:val="22"/>
        </w:rPr>
        <w:t>-</w:t>
      </w:r>
      <w:r w:rsidR="001C3D3A" w:rsidRPr="003E5206">
        <w:rPr>
          <w:rFonts w:ascii="Arial" w:eastAsia="Arial" w:hAnsi="Arial" w:cs="Arial"/>
          <w:sz w:val="22"/>
          <w:szCs w:val="22"/>
        </w:rPr>
        <w:t>Ro antibodies, positive extractable nuclear antibodies</w:t>
      </w:r>
      <w:r w:rsidR="00FB5575" w:rsidRPr="003E5206">
        <w:rPr>
          <w:rFonts w:ascii="Arial" w:eastAsia="Arial" w:hAnsi="Arial" w:cs="Arial"/>
          <w:sz w:val="22"/>
          <w:szCs w:val="22"/>
        </w:rPr>
        <w:t>, positive anti</w:t>
      </w:r>
      <w:r w:rsidR="00875FB3" w:rsidRPr="003E5206">
        <w:rPr>
          <w:rFonts w:ascii="Arial" w:eastAsia="Arial" w:hAnsi="Arial" w:cs="Arial"/>
          <w:sz w:val="22"/>
          <w:szCs w:val="22"/>
        </w:rPr>
        <w:t>-</w:t>
      </w:r>
      <w:r w:rsidR="00FB5575" w:rsidRPr="003E5206">
        <w:rPr>
          <w:rFonts w:ascii="Arial" w:eastAsia="Arial" w:hAnsi="Arial" w:cs="Arial"/>
          <w:sz w:val="22"/>
          <w:szCs w:val="22"/>
        </w:rPr>
        <w:t>La antibodies</w:t>
      </w:r>
      <w:r w:rsidR="00875FB3" w:rsidRPr="003E5206">
        <w:rPr>
          <w:rFonts w:ascii="Arial" w:eastAsia="Arial" w:hAnsi="Arial" w:cs="Arial"/>
          <w:sz w:val="22"/>
          <w:szCs w:val="22"/>
        </w:rPr>
        <w:t>,</w:t>
      </w:r>
      <w:r w:rsidR="00FB5575" w:rsidRPr="003E5206">
        <w:rPr>
          <w:rFonts w:ascii="Arial" w:eastAsia="Arial" w:hAnsi="Arial" w:cs="Arial"/>
          <w:sz w:val="22"/>
          <w:szCs w:val="22"/>
        </w:rPr>
        <w:t xml:space="preserve"> and negative anti</w:t>
      </w:r>
      <w:r w:rsidR="00875FB3" w:rsidRPr="003E5206">
        <w:rPr>
          <w:rFonts w:ascii="Arial" w:eastAsia="Arial" w:hAnsi="Arial" w:cs="Arial"/>
          <w:sz w:val="22"/>
          <w:szCs w:val="22"/>
        </w:rPr>
        <w:t>-</w:t>
      </w:r>
      <w:r w:rsidR="00FB5575" w:rsidRPr="003E5206">
        <w:rPr>
          <w:rFonts w:ascii="Arial" w:eastAsia="Arial" w:hAnsi="Arial" w:cs="Arial"/>
          <w:sz w:val="22"/>
          <w:szCs w:val="22"/>
        </w:rPr>
        <w:t>Sm</w:t>
      </w:r>
      <w:r w:rsidR="00733750" w:rsidRPr="003E5206">
        <w:rPr>
          <w:rFonts w:ascii="Arial" w:eastAsia="Arial" w:hAnsi="Arial" w:cs="Arial"/>
          <w:sz w:val="22"/>
          <w:szCs w:val="22"/>
        </w:rPr>
        <w:t>,</w:t>
      </w:r>
      <w:r w:rsidR="003E587E" w:rsidRPr="003E5206">
        <w:rPr>
          <w:rFonts w:ascii="Arial" w:eastAsia="Arial" w:hAnsi="Arial" w:cs="Arial"/>
          <w:sz w:val="22"/>
          <w:szCs w:val="22"/>
        </w:rPr>
        <w:t xml:space="preserve"> normal renal, hepatic and thyroid tests</w:t>
      </w:r>
      <w:r w:rsidR="00DE18E2" w:rsidRPr="003E5206">
        <w:rPr>
          <w:rFonts w:ascii="Arial" w:eastAsia="Arial" w:hAnsi="Arial" w:cs="Arial"/>
          <w:sz w:val="22"/>
          <w:szCs w:val="22"/>
        </w:rPr>
        <w:t xml:space="preserve">. She also had a </w:t>
      </w:r>
      <w:r w:rsidR="001C21DB" w:rsidRPr="003E5206">
        <w:rPr>
          <w:rFonts w:ascii="Arial" w:eastAsia="Arial" w:hAnsi="Arial" w:cs="Arial"/>
          <w:sz w:val="22"/>
          <w:szCs w:val="22"/>
        </w:rPr>
        <w:t xml:space="preserve">salivary gland </w:t>
      </w:r>
      <w:r w:rsidR="007A31BE" w:rsidRPr="003E5206">
        <w:rPr>
          <w:rFonts w:ascii="Arial" w:eastAsia="Arial" w:hAnsi="Arial" w:cs="Arial"/>
          <w:sz w:val="22"/>
          <w:szCs w:val="22"/>
        </w:rPr>
        <w:t xml:space="preserve">gammagraphy with evidence of </w:t>
      </w:r>
      <w:r w:rsidR="00C815A9" w:rsidRPr="003E5206">
        <w:rPr>
          <w:rFonts w:ascii="Arial" w:eastAsia="Arial" w:hAnsi="Arial" w:cs="Arial"/>
          <w:sz w:val="22"/>
          <w:szCs w:val="22"/>
        </w:rPr>
        <w:t>functional compromis</w:t>
      </w:r>
      <w:r w:rsidR="006A25A5" w:rsidRPr="003E5206">
        <w:rPr>
          <w:rFonts w:ascii="Arial" w:eastAsia="Arial" w:hAnsi="Arial" w:cs="Arial"/>
          <w:sz w:val="22"/>
          <w:szCs w:val="22"/>
        </w:rPr>
        <w:t>e</w:t>
      </w:r>
      <w:r w:rsidR="00C815A9" w:rsidRPr="003E5206">
        <w:rPr>
          <w:rFonts w:ascii="Arial" w:eastAsia="Arial" w:hAnsi="Arial" w:cs="Arial"/>
          <w:sz w:val="22"/>
          <w:szCs w:val="22"/>
        </w:rPr>
        <w:t xml:space="preserve"> </w:t>
      </w:r>
      <w:r w:rsidR="003A7F97" w:rsidRPr="003E5206">
        <w:rPr>
          <w:rFonts w:ascii="Arial" w:eastAsia="Arial" w:hAnsi="Arial" w:cs="Arial"/>
          <w:sz w:val="22"/>
          <w:szCs w:val="22"/>
        </w:rPr>
        <w:t>state IV/IV</w:t>
      </w:r>
      <w:r w:rsidR="002F29DA" w:rsidRPr="003E5206">
        <w:rPr>
          <w:rFonts w:ascii="Arial" w:eastAsia="Arial" w:hAnsi="Arial" w:cs="Arial"/>
          <w:sz w:val="22"/>
          <w:szCs w:val="22"/>
        </w:rPr>
        <w:t xml:space="preserve">, </w:t>
      </w:r>
      <w:r w:rsidR="00392540" w:rsidRPr="003E5206">
        <w:rPr>
          <w:rFonts w:ascii="Arial" w:eastAsia="Arial" w:hAnsi="Arial" w:cs="Arial"/>
          <w:sz w:val="22"/>
          <w:szCs w:val="22"/>
        </w:rPr>
        <w:t xml:space="preserve">which provided a diagnosis of Sjögren </w:t>
      </w:r>
      <w:r w:rsidR="00A13574" w:rsidRPr="003E5206">
        <w:rPr>
          <w:rFonts w:ascii="Arial" w:eastAsia="Arial" w:hAnsi="Arial" w:cs="Arial"/>
          <w:sz w:val="22"/>
          <w:szCs w:val="22"/>
        </w:rPr>
        <w:t xml:space="preserve">síndrome with </w:t>
      </w:r>
      <w:r w:rsidR="006A25A5" w:rsidRPr="003E5206">
        <w:rPr>
          <w:rFonts w:ascii="Arial" w:eastAsia="Arial" w:hAnsi="Arial" w:cs="Arial"/>
          <w:sz w:val="22"/>
          <w:szCs w:val="22"/>
        </w:rPr>
        <w:t xml:space="preserve">a </w:t>
      </w:r>
      <w:r w:rsidR="00A13574" w:rsidRPr="003E5206">
        <w:rPr>
          <w:rFonts w:ascii="Arial" w:eastAsia="Arial" w:hAnsi="Arial" w:cs="Arial"/>
          <w:sz w:val="22"/>
          <w:szCs w:val="22"/>
        </w:rPr>
        <w:t>severe</w:t>
      </w:r>
      <w:r w:rsidR="00236602" w:rsidRPr="003E5206">
        <w:rPr>
          <w:rFonts w:ascii="Arial" w:eastAsia="Arial" w:hAnsi="Arial" w:cs="Arial"/>
          <w:sz w:val="22"/>
          <w:szCs w:val="22"/>
        </w:rPr>
        <w:t xml:space="preserve"> dry eye disease (DED). </w:t>
      </w:r>
      <w:r w:rsidR="006A25A5" w:rsidRPr="003E5206">
        <w:rPr>
          <w:rFonts w:ascii="Arial" w:eastAsia="Arial" w:hAnsi="Arial" w:cs="Arial"/>
          <w:sz w:val="22"/>
          <w:szCs w:val="22"/>
        </w:rPr>
        <w:t xml:space="preserve">The patient was initially treated </w:t>
      </w:r>
      <w:r w:rsidR="0088621F" w:rsidRPr="003E5206">
        <w:rPr>
          <w:rFonts w:ascii="Arial" w:eastAsia="Arial" w:hAnsi="Arial" w:cs="Arial"/>
          <w:sz w:val="22"/>
          <w:szCs w:val="22"/>
        </w:rPr>
        <w:t xml:space="preserve">with </w:t>
      </w:r>
      <w:r w:rsidR="00165586" w:rsidRPr="003E5206">
        <w:rPr>
          <w:rFonts w:ascii="Arial" w:eastAsia="Arial" w:hAnsi="Arial" w:cs="Arial"/>
          <w:sz w:val="22"/>
          <w:szCs w:val="22"/>
        </w:rPr>
        <w:t xml:space="preserve">pulses of </w:t>
      </w:r>
      <w:r w:rsidR="0088621F" w:rsidRPr="003E5206">
        <w:rPr>
          <w:rFonts w:ascii="Arial" w:eastAsia="Arial" w:hAnsi="Arial" w:cs="Arial"/>
          <w:sz w:val="22"/>
          <w:szCs w:val="22"/>
        </w:rPr>
        <w:t>topical low potenc</w:t>
      </w:r>
      <w:r w:rsidR="00165586" w:rsidRPr="003E5206">
        <w:rPr>
          <w:rFonts w:ascii="Arial" w:eastAsia="Arial" w:hAnsi="Arial" w:cs="Arial"/>
          <w:sz w:val="22"/>
          <w:szCs w:val="22"/>
        </w:rPr>
        <w:t>y</w:t>
      </w:r>
      <w:r w:rsidR="0088621F" w:rsidRPr="003E5206">
        <w:rPr>
          <w:rFonts w:ascii="Arial" w:eastAsia="Arial" w:hAnsi="Arial" w:cs="Arial"/>
          <w:sz w:val="22"/>
          <w:szCs w:val="22"/>
        </w:rPr>
        <w:t xml:space="preserve"> steroids</w:t>
      </w:r>
      <w:r w:rsidR="00165586" w:rsidRPr="003E5206">
        <w:rPr>
          <w:rFonts w:ascii="Arial" w:eastAsia="Arial" w:hAnsi="Arial" w:cs="Arial"/>
          <w:sz w:val="22"/>
          <w:szCs w:val="22"/>
        </w:rPr>
        <w:t xml:space="preserve"> and permanent hyaluronic acid eye drops; subsequently</w:t>
      </w:r>
      <w:r w:rsidR="00726083" w:rsidRPr="003E5206">
        <w:rPr>
          <w:rFonts w:ascii="Arial" w:eastAsia="Arial" w:hAnsi="Arial" w:cs="Arial"/>
          <w:sz w:val="22"/>
          <w:szCs w:val="22"/>
        </w:rPr>
        <w:t>,</w:t>
      </w:r>
      <w:r w:rsidR="00165586" w:rsidRPr="003E5206">
        <w:rPr>
          <w:rFonts w:ascii="Arial" w:eastAsia="Arial" w:hAnsi="Arial" w:cs="Arial"/>
          <w:sz w:val="22"/>
          <w:szCs w:val="22"/>
        </w:rPr>
        <w:t xml:space="preserve"> </w:t>
      </w:r>
      <w:r w:rsidR="00DA4CC4" w:rsidRPr="003E5206">
        <w:rPr>
          <w:rFonts w:ascii="Arial" w:eastAsia="Arial" w:hAnsi="Arial" w:cs="Arial"/>
          <w:sz w:val="22"/>
          <w:szCs w:val="22"/>
        </w:rPr>
        <w:t>carbomer gel and cyclosporine w</w:t>
      </w:r>
      <w:r w:rsidR="00726083" w:rsidRPr="003E5206">
        <w:rPr>
          <w:rFonts w:ascii="Arial" w:eastAsia="Arial" w:hAnsi="Arial" w:cs="Arial"/>
          <w:sz w:val="22"/>
          <w:szCs w:val="22"/>
        </w:rPr>
        <w:t>ere</w:t>
      </w:r>
      <w:r w:rsidR="00DA4CC4" w:rsidRPr="003E5206">
        <w:rPr>
          <w:rFonts w:ascii="Arial" w:eastAsia="Arial" w:hAnsi="Arial" w:cs="Arial"/>
          <w:sz w:val="22"/>
          <w:szCs w:val="22"/>
        </w:rPr>
        <w:t xml:space="preserve"> added after about a year of suboptimal control of symptoms.</w:t>
      </w:r>
      <w:r w:rsidR="00726083" w:rsidRPr="003E5206">
        <w:rPr>
          <w:rFonts w:ascii="Arial" w:eastAsia="Arial" w:hAnsi="Arial" w:cs="Arial"/>
          <w:sz w:val="22"/>
          <w:szCs w:val="22"/>
        </w:rPr>
        <w:t xml:space="preserve"> </w:t>
      </w:r>
      <w:r w:rsidR="0078593E" w:rsidRPr="003E5206">
        <w:rPr>
          <w:rFonts w:ascii="Arial" w:eastAsia="Arial" w:hAnsi="Arial" w:cs="Arial"/>
          <w:sz w:val="22"/>
          <w:szCs w:val="22"/>
        </w:rPr>
        <w:t xml:space="preserve">Though the patient </w:t>
      </w:r>
      <w:r w:rsidR="002A5FA5" w:rsidRPr="003E5206">
        <w:rPr>
          <w:rFonts w:ascii="Arial" w:eastAsia="Arial" w:hAnsi="Arial" w:cs="Arial"/>
          <w:sz w:val="22"/>
          <w:szCs w:val="22"/>
        </w:rPr>
        <w:t xml:space="preserve">was very complied </w:t>
      </w:r>
      <w:r w:rsidR="00575ADA" w:rsidRPr="003E5206">
        <w:rPr>
          <w:rFonts w:ascii="Arial" w:eastAsia="Arial" w:hAnsi="Arial" w:cs="Arial"/>
          <w:sz w:val="22"/>
          <w:szCs w:val="22"/>
        </w:rPr>
        <w:t>with</w:t>
      </w:r>
      <w:r w:rsidR="002A5FA5" w:rsidRPr="003E5206">
        <w:rPr>
          <w:rFonts w:ascii="Arial" w:eastAsia="Arial" w:hAnsi="Arial" w:cs="Arial"/>
          <w:sz w:val="22"/>
          <w:szCs w:val="22"/>
        </w:rPr>
        <w:t xml:space="preserve"> the treatment, most of the sympto</w:t>
      </w:r>
      <w:r w:rsidR="005E2D57" w:rsidRPr="003E5206">
        <w:rPr>
          <w:rFonts w:ascii="Arial" w:eastAsia="Arial" w:hAnsi="Arial" w:cs="Arial"/>
          <w:sz w:val="22"/>
          <w:szCs w:val="22"/>
        </w:rPr>
        <w:t>ms, like pain, photophobia</w:t>
      </w:r>
      <w:r w:rsidR="003B0B4E" w:rsidRPr="003E5206">
        <w:rPr>
          <w:rFonts w:ascii="Arial" w:eastAsia="Arial" w:hAnsi="Arial" w:cs="Arial"/>
          <w:sz w:val="22"/>
          <w:szCs w:val="22"/>
        </w:rPr>
        <w:t>, mucous secretion in the mornings, red eyes, foreign body sensation</w:t>
      </w:r>
      <w:r w:rsidR="00575ADA" w:rsidRPr="003E5206">
        <w:rPr>
          <w:rFonts w:ascii="Arial" w:eastAsia="Arial" w:hAnsi="Arial" w:cs="Arial"/>
          <w:sz w:val="22"/>
          <w:szCs w:val="22"/>
        </w:rPr>
        <w:t>,</w:t>
      </w:r>
      <w:r w:rsidR="003B0B4E" w:rsidRPr="003E5206">
        <w:rPr>
          <w:rFonts w:ascii="Arial" w:eastAsia="Arial" w:hAnsi="Arial" w:cs="Arial"/>
          <w:sz w:val="22"/>
          <w:szCs w:val="22"/>
        </w:rPr>
        <w:t xml:space="preserve"> and </w:t>
      </w:r>
      <w:r w:rsidR="00575ADA" w:rsidRPr="003E5206">
        <w:rPr>
          <w:rFonts w:ascii="Arial" w:eastAsia="Arial" w:hAnsi="Arial" w:cs="Arial"/>
          <w:sz w:val="22"/>
          <w:szCs w:val="22"/>
        </w:rPr>
        <w:t xml:space="preserve">blurred visión persisted. </w:t>
      </w:r>
    </w:p>
    <w:p w14:paraId="7CC6A36B" w14:textId="77777777" w:rsidR="004059DC" w:rsidRPr="003E5206" w:rsidRDefault="004059DC" w:rsidP="2A492573">
      <w:pPr>
        <w:jc w:val="both"/>
        <w:rPr>
          <w:rFonts w:ascii="Arial" w:eastAsia="Arial" w:hAnsi="Arial" w:cs="Arial"/>
          <w:sz w:val="22"/>
          <w:szCs w:val="22"/>
        </w:rPr>
      </w:pPr>
    </w:p>
    <w:p w14:paraId="277496D1" w14:textId="4D7B50A0" w:rsidR="00A074F7" w:rsidRPr="003E5206" w:rsidRDefault="00431EF9" w:rsidP="2A492573">
      <w:pPr>
        <w:jc w:val="both"/>
        <w:rPr>
          <w:rFonts w:ascii="Arial" w:eastAsia="Arial" w:hAnsi="Arial" w:cs="Arial"/>
          <w:sz w:val="22"/>
          <w:szCs w:val="22"/>
        </w:rPr>
      </w:pPr>
      <w:r w:rsidRPr="003E5206">
        <w:rPr>
          <w:rFonts w:ascii="Arial" w:eastAsia="Arial" w:hAnsi="Arial" w:cs="Arial"/>
          <w:sz w:val="22"/>
          <w:szCs w:val="22"/>
        </w:rPr>
        <w:t xml:space="preserve">Oculoplastics </w:t>
      </w:r>
      <w:r w:rsidR="004059DC" w:rsidRPr="003E5206">
        <w:rPr>
          <w:rFonts w:ascii="Arial" w:eastAsia="Arial" w:hAnsi="Arial" w:cs="Arial"/>
          <w:sz w:val="22"/>
          <w:szCs w:val="22"/>
        </w:rPr>
        <w:t xml:space="preserve">then </w:t>
      </w:r>
      <w:r w:rsidRPr="003E5206">
        <w:rPr>
          <w:rFonts w:ascii="Arial" w:eastAsia="Arial" w:hAnsi="Arial" w:cs="Arial"/>
          <w:sz w:val="22"/>
          <w:szCs w:val="22"/>
        </w:rPr>
        <w:t xml:space="preserve">decides to </w:t>
      </w:r>
      <w:r w:rsidR="004C2780" w:rsidRPr="003E5206">
        <w:rPr>
          <w:rFonts w:ascii="Arial" w:eastAsia="Arial" w:hAnsi="Arial" w:cs="Arial"/>
          <w:sz w:val="22"/>
          <w:szCs w:val="22"/>
        </w:rPr>
        <w:t xml:space="preserve">occlude the lacrimal orifices, and the </w:t>
      </w:r>
      <w:r w:rsidR="00113CB1" w:rsidRPr="003E5206">
        <w:rPr>
          <w:rFonts w:ascii="Arial" w:eastAsia="Arial" w:hAnsi="Arial" w:cs="Arial"/>
          <w:sz w:val="22"/>
          <w:szCs w:val="22"/>
        </w:rPr>
        <w:t>usual</w:t>
      </w:r>
      <w:r w:rsidR="00FC2D17" w:rsidRPr="003E5206">
        <w:rPr>
          <w:rFonts w:ascii="Arial" w:eastAsia="Arial" w:hAnsi="Arial" w:cs="Arial"/>
          <w:sz w:val="22"/>
          <w:szCs w:val="22"/>
        </w:rPr>
        <w:t xml:space="preserve"> treatment was continued without any change. </w:t>
      </w:r>
      <w:r w:rsidR="00113CB1" w:rsidRPr="003E5206">
        <w:rPr>
          <w:rFonts w:ascii="Arial" w:eastAsia="Arial" w:hAnsi="Arial" w:cs="Arial"/>
          <w:sz w:val="22"/>
          <w:szCs w:val="22"/>
        </w:rPr>
        <w:t xml:space="preserve">In the subsequent visits </w:t>
      </w:r>
      <w:r w:rsidR="00B51EB1" w:rsidRPr="003E5206">
        <w:rPr>
          <w:rFonts w:ascii="Arial" w:eastAsia="Arial" w:hAnsi="Arial" w:cs="Arial"/>
          <w:sz w:val="22"/>
          <w:szCs w:val="22"/>
        </w:rPr>
        <w:t xml:space="preserve">the symptoms subsided </w:t>
      </w:r>
      <w:r w:rsidR="00DB6B73" w:rsidRPr="003E5206">
        <w:rPr>
          <w:rFonts w:ascii="Arial" w:eastAsia="Arial" w:hAnsi="Arial" w:cs="Arial"/>
          <w:sz w:val="22"/>
          <w:szCs w:val="22"/>
        </w:rPr>
        <w:t>slightly, visual acuity</w:t>
      </w:r>
      <w:r w:rsidR="00A074F7" w:rsidRPr="003E5206">
        <w:rPr>
          <w:rFonts w:ascii="Arial" w:eastAsia="Arial" w:hAnsi="Arial" w:cs="Arial"/>
          <w:sz w:val="22"/>
          <w:szCs w:val="22"/>
        </w:rPr>
        <w:t xml:space="preserve"> with optic correction was 20/20 in her right eye and 20/60- in her left</w:t>
      </w:r>
      <w:r w:rsidR="00834D6A" w:rsidRPr="003E5206">
        <w:rPr>
          <w:rFonts w:ascii="Arial" w:eastAsia="Arial" w:hAnsi="Arial" w:cs="Arial"/>
          <w:sz w:val="22"/>
          <w:szCs w:val="22"/>
        </w:rPr>
        <w:t xml:space="preserve"> eye, fluoresceine stain showed punctate and blob staining </w:t>
      </w:r>
      <w:r w:rsidR="000F5C5E" w:rsidRPr="003E5206">
        <w:rPr>
          <w:rFonts w:ascii="Arial" w:eastAsia="Arial" w:hAnsi="Arial" w:cs="Arial"/>
          <w:sz w:val="22"/>
          <w:szCs w:val="22"/>
        </w:rPr>
        <w:t xml:space="preserve">mostly at the inferior and interpalpebral área of the cornea </w:t>
      </w:r>
      <w:r w:rsidR="00FB54C6" w:rsidRPr="003E5206">
        <w:rPr>
          <w:rFonts w:ascii="Arial" w:eastAsia="Arial" w:hAnsi="Arial" w:cs="Arial"/>
          <w:sz w:val="22"/>
          <w:szCs w:val="22"/>
        </w:rPr>
        <w:t xml:space="preserve">in </w:t>
      </w:r>
      <w:r w:rsidR="003E42EA" w:rsidRPr="003E5206">
        <w:rPr>
          <w:rFonts w:ascii="Arial" w:eastAsia="Arial" w:hAnsi="Arial" w:cs="Arial"/>
          <w:sz w:val="22"/>
          <w:szCs w:val="22"/>
        </w:rPr>
        <w:t>the right eye</w:t>
      </w:r>
      <w:r w:rsidR="00FB54C6" w:rsidRPr="003E5206">
        <w:rPr>
          <w:rFonts w:ascii="Arial" w:eastAsia="Arial" w:hAnsi="Arial" w:cs="Arial"/>
          <w:sz w:val="22"/>
          <w:szCs w:val="22"/>
        </w:rPr>
        <w:t xml:space="preserve"> </w:t>
      </w:r>
      <w:r w:rsidR="000F5C5E" w:rsidRPr="003E5206">
        <w:rPr>
          <w:rFonts w:ascii="Arial" w:eastAsia="Arial" w:hAnsi="Arial" w:cs="Arial"/>
          <w:sz w:val="22"/>
          <w:szCs w:val="22"/>
        </w:rPr>
        <w:t>(Fig. 1)</w:t>
      </w:r>
      <w:r w:rsidR="00FB54C6" w:rsidRPr="003E5206">
        <w:rPr>
          <w:rFonts w:ascii="Arial" w:eastAsia="Arial" w:hAnsi="Arial" w:cs="Arial"/>
          <w:sz w:val="22"/>
          <w:szCs w:val="22"/>
        </w:rPr>
        <w:t>,</w:t>
      </w:r>
      <w:r w:rsidR="003E42EA" w:rsidRPr="003E5206">
        <w:rPr>
          <w:rFonts w:ascii="Arial" w:eastAsia="Arial" w:hAnsi="Arial" w:cs="Arial"/>
          <w:sz w:val="22"/>
          <w:szCs w:val="22"/>
        </w:rPr>
        <w:t xml:space="preserve"> the left eye </w:t>
      </w:r>
      <w:r w:rsidR="009A196B" w:rsidRPr="003E5206">
        <w:rPr>
          <w:rFonts w:ascii="Arial" w:eastAsia="Arial" w:hAnsi="Arial" w:cs="Arial"/>
          <w:sz w:val="22"/>
          <w:szCs w:val="22"/>
        </w:rPr>
        <w:t xml:space="preserve">showed a similar pattern of staining, but with a more conglomerated </w:t>
      </w:r>
      <w:r w:rsidR="00BD5599" w:rsidRPr="003E5206">
        <w:rPr>
          <w:rFonts w:ascii="Arial" w:eastAsia="Arial" w:hAnsi="Arial" w:cs="Arial"/>
          <w:sz w:val="22"/>
          <w:szCs w:val="22"/>
        </w:rPr>
        <w:t>blob in the inferior portion of the cornea (Fig. 2)</w:t>
      </w:r>
      <w:r w:rsidR="00AF2A07" w:rsidRPr="003E5206">
        <w:rPr>
          <w:rFonts w:ascii="Arial" w:eastAsia="Arial" w:hAnsi="Arial" w:cs="Arial"/>
          <w:sz w:val="22"/>
          <w:szCs w:val="22"/>
        </w:rPr>
        <w:t>. The li</w:t>
      </w:r>
      <w:r w:rsidR="00A022CC" w:rsidRPr="003E5206">
        <w:rPr>
          <w:rFonts w:ascii="Arial" w:eastAsia="Arial" w:hAnsi="Arial" w:cs="Arial"/>
          <w:sz w:val="22"/>
          <w:szCs w:val="22"/>
        </w:rPr>
        <w:t>s</w:t>
      </w:r>
      <w:r w:rsidR="00AF2A07" w:rsidRPr="003E5206">
        <w:rPr>
          <w:rFonts w:ascii="Arial" w:eastAsia="Arial" w:hAnsi="Arial" w:cs="Arial"/>
          <w:sz w:val="22"/>
          <w:szCs w:val="22"/>
        </w:rPr>
        <w:t>samine green stain evidenced significant staining</w:t>
      </w:r>
      <w:r w:rsidR="000F3254" w:rsidRPr="003E5206">
        <w:rPr>
          <w:rFonts w:ascii="Arial" w:eastAsia="Arial" w:hAnsi="Arial" w:cs="Arial"/>
          <w:sz w:val="22"/>
          <w:szCs w:val="22"/>
        </w:rPr>
        <w:t xml:space="preserve"> in the inferior third, nasal and temporal peri</w:t>
      </w:r>
      <w:r w:rsidR="00A022CC" w:rsidRPr="003E5206">
        <w:rPr>
          <w:rFonts w:ascii="Arial" w:eastAsia="Arial" w:hAnsi="Arial" w:cs="Arial"/>
          <w:sz w:val="22"/>
          <w:szCs w:val="22"/>
        </w:rPr>
        <w:t>ph</w:t>
      </w:r>
      <w:r w:rsidR="000F3254" w:rsidRPr="003E5206">
        <w:rPr>
          <w:rFonts w:ascii="Arial" w:eastAsia="Arial" w:hAnsi="Arial" w:cs="Arial"/>
          <w:sz w:val="22"/>
          <w:szCs w:val="22"/>
        </w:rPr>
        <w:t>er</w:t>
      </w:r>
      <w:r w:rsidR="00C0785C" w:rsidRPr="003E5206">
        <w:rPr>
          <w:rFonts w:ascii="Arial" w:eastAsia="Arial" w:hAnsi="Arial" w:cs="Arial"/>
          <w:sz w:val="22"/>
          <w:szCs w:val="22"/>
        </w:rPr>
        <w:t>y, likewise, the conjunctiva stained th</w:t>
      </w:r>
      <w:r w:rsidR="00A022CC" w:rsidRPr="003E5206">
        <w:rPr>
          <w:rFonts w:ascii="Arial" w:eastAsia="Arial" w:hAnsi="Arial" w:cs="Arial"/>
          <w:sz w:val="22"/>
          <w:szCs w:val="22"/>
        </w:rPr>
        <w:t>o</w:t>
      </w:r>
      <w:r w:rsidR="00C0785C" w:rsidRPr="003E5206">
        <w:rPr>
          <w:rFonts w:ascii="Arial" w:eastAsia="Arial" w:hAnsi="Arial" w:cs="Arial"/>
          <w:sz w:val="22"/>
          <w:szCs w:val="22"/>
        </w:rPr>
        <w:t>roughly in a punctate pattern.</w:t>
      </w:r>
      <w:r w:rsidR="00A022CC" w:rsidRPr="003E5206">
        <w:rPr>
          <w:rFonts w:ascii="Arial" w:eastAsia="Arial" w:hAnsi="Arial" w:cs="Arial"/>
          <w:sz w:val="22"/>
          <w:szCs w:val="22"/>
        </w:rPr>
        <w:t xml:space="preserve"> </w:t>
      </w:r>
      <w:r w:rsidR="006A5141" w:rsidRPr="003E5206">
        <w:rPr>
          <w:rFonts w:ascii="Arial" w:eastAsia="Arial" w:hAnsi="Arial" w:cs="Arial"/>
          <w:sz w:val="22"/>
          <w:szCs w:val="22"/>
        </w:rPr>
        <w:t xml:space="preserve">According to the Oxford classification, both eyes were scored with III (Fig. 3 and 4). </w:t>
      </w:r>
      <w:r w:rsidR="00646AE4" w:rsidRPr="003E5206">
        <w:rPr>
          <w:rFonts w:ascii="Arial" w:eastAsia="Arial" w:hAnsi="Arial" w:cs="Arial"/>
          <w:sz w:val="22"/>
          <w:szCs w:val="22"/>
        </w:rPr>
        <w:t xml:space="preserve">The tear breakup time (TBUT) was </w:t>
      </w:r>
      <w:r w:rsidR="00590811" w:rsidRPr="003E5206">
        <w:rPr>
          <w:rFonts w:ascii="Arial" w:eastAsia="Arial" w:hAnsi="Arial" w:cs="Arial"/>
          <w:sz w:val="22"/>
          <w:szCs w:val="22"/>
        </w:rPr>
        <w:t>3 seconds for both eyes and the Schirmer test was 0 mm.</w:t>
      </w:r>
    </w:p>
    <w:p w14:paraId="24F5C6FC" w14:textId="1B39A7DF" w:rsidR="008A2CC5" w:rsidRPr="003E5206" w:rsidRDefault="008A2CC5" w:rsidP="008A2CC5">
      <w:pPr>
        <w:jc w:val="both"/>
        <w:rPr>
          <w:rFonts w:ascii="Arial" w:eastAsia="Arial" w:hAnsi="Arial" w:cs="Arial"/>
          <w:sz w:val="22"/>
          <w:szCs w:val="22"/>
        </w:rPr>
      </w:pPr>
    </w:p>
    <w:p w14:paraId="0DE9D315" w14:textId="3878AF71" w:rsidR="006157D0" w:rsidRPr="003E5206" w:rsidRDefault="006601CF" w:rsidP="008A2CC5">
      <w:pPr>
        <w:jc w:val="both"/>
        <w:rPr>
          <w:rFonts w:ascii="Arial" w:eastAsia="Arial" w:hAnsi="Arial" w:cs="Arial"/>
          <w:color w:val="000000" w:themeColor="text1"/>
          <w:sz w:val="22"/>
          <w:szCs w:val="22"/>
        </w:rPr>
      </w:pPr>
      <w:r w:rsidRPr="003E5206">
        <w:rPr>
          <w:rFonts w:ascii="Arial" w:eastAsia="Arial" w:hAnsi="Arial" w:cs="Arial"/>
          <w:color w:val="000000" w:themeColor="text1"/>
          <w:sz w:val="22"/>
          <w:szCs w:val="22"/>
        </w:rPr>
        <w:t>Given the suboptimal control of symptoms</w:t>
      </w:r>
      <w:r w:rsidR="00DC482F" w:rsidRPr="003E5206">
        <w:rPr>
          <w:rFonts w:ascii="Arial" w:eastAsia="Arial" w:hAnsi="Arial" w:cs="Arial"/>
          <w:color w:val="000000" w:themeColor="text1"/>
          <w:sz w:val="22"/>
          <w:szCs w:val="22"/>
        </w:rPr>
        <w:t>,</w:t>
      </w:r>
      <w:r w:rsidRPr="003E5206">
        <w:rPr>
          <w:rFonts w:ascii="Arial" w:eastAsia="Arial" w:hAnsi="Arial" w:cs="Arial"/>
          <w:color w:val="000000" w:themeColor="text1"/>
          <w:sz w:val="22"/>
          <w:szCs w:val="22"/>
        </w:rPr>
        <w:t xml:space="preserve"> we decide to </w:t>
      </w:r>
      <w:r w:rsidR="00513F32" w:rsidRPr="003E5206">
        <w:rPr>
          <w:rFonts w:ascii="Arial" w:eastAsia="Arial" w:hAnsi="Arial" w:cs="Arial"/>
          <w:color w:val="000000" w:themeColor="text1"/>
          <w:sz w:val="22"/>
          <w:szCs w:val="22"/>
        </w:rPr>
        <w:t>use platelet</w:t>
      </w:r>
      <w:r w:rsidR="00DC482F" w:rsidRPr="003E5206">
        <w:rPr>
          <w:rFonts w:ascii="Arial" w:eastAsia="Arial" w:hAnsi="Arial" w:cs="Arial"/>
          <w:color w:val="000000" w:themeColor="text1"/>
          <w:sz w:val="22"/>
          <w:szCs w:val="22"/>
        </w:rPr>
        <w:t>-</w:t>
      </w:r>
      <w:r w:rsidR="00513F32" w:rsidRPr="003E5206">
        <w:rPr>
          <w:rFonts w:ascii="Arial" w:eastAsia="Arial" w:hAnsi="Arial" w:cs="Arial"/>
          <w:color w:val="000000" w:themeColor="text1"/>
          <w:sz w:val="22"/>
          <w:szCs w:val="22"/>
        </w:rPr>
        <w:t xml:space="preserve">rich plasma (PRP) </w:t>
      </w:r>
      <w:r w:rsidR="00DC482F" w:rsidRPr="003E5206">
        <w:rPr>
          <w:rFonts w:ascii="Arial" w:eastAsia="Arial" w:hAnsi="Arial" w:cs="Arial"/>
          <w:color w:val="000000" w:themeColor="text1"/>
          <w:sz w:val="22"/>
          <w:szCs w:val="22"/>
        </w:rPr>
        <w:t>using</w:t>
      </w:r>
      <w:r w:rsidR="00513F32" w:rsidRPr="003E5206">
        <w:rPr>
          <w:rFonts w:ascii="Arial" w:eastAsia="Arial" w:hAnsi="Arial" w:cs="Arial"/>
          <w:color w:val="000000" w:themeColor="text1"/>
          <w:sz w:val="22"/>
          <w:szCs w:val="22"/>
        </w:rPr>
        <w:t xml:space="preserve"> an innovative application technique</w:t>
      </w:r>
      <w:r w:rsidR="00DC482F" w:rsidRPr="003E5206">
        <w:rPr>
          <w:rFonts w:ascii="Arial" w:eastAsia="Arial" w:hAnsi="Arial" w:cs="Arial"/>
          <w:color w:val="000000" w:themeColor="text1"/>
          <w:sz w:val="22"/>
          <w:szCs w:val="22"/>
        </w:rPr>
        <w:t xml:space="preserve">. </w:t>
      </w:r>
      <w:r w:rsidR="00750A08" w:rsidRPr="003E5206">
        <w:rPr>
          <w:rFonts w:ascii="Arial" w:eastAsia="Arial" w:hAnsi="Arial" w:cs="Arial"/>
          <w:color w:val="000000" w:themeColor="text1"/>
          <w:sz w:val="22"/>
          <w:szCs w:val="22"/>
        </w:rPr>
        <w:t xml:space="preserve">We first explained thoroughly the </w:t>
      </w:r>
      <w:r w:rsidR="001A0E33" w:rsidRPr="003E5206">
        <w:rPr>
          <w:rFonts w:ascii="Arial" w:eastAsia="Arial" w:hAnsi="Arial" w:cs="Arial"/>
          <w:color w:val="000000" w:themeColor="text1"/>
          <w:sz w:val="22"/>
          <w:szCs w:val="22"/>
        </w:rPr>
        <w:t xml:space="preserve">technique and the potential risks to the patient, who </w:t>
      </w:r>
      <w:r w:rsidR="00490217" w:rsidRPr="003E5206">
        <w:rPr>
          <w:rFonts w:ascii="Arial" w:eastAsia="Arial" w:hAnsi="Arial" w:cs="Arial"/>
          <w:color w:val="000000" w:themeColor="text1"/>
          <w:sz w:val="22"/>
          <w:szCs w:val="22"/>
        </w:rPr>
        <w:t xml:space="preserve">gave us written consent before we began </w:t>
      </w:r>
      <w:r w:rsidR="00527433" w:rsidRPr="003E5206">
        <w:rPr>
          <w:rFonts w:ascii="Arial" w:eastAsia="Arial" w:hAnsi="Arial" w:cs="Arial"/>
          <w:color w:val="000000" w:themeColor="text1"/>
          <w:sz w:val="22"/>
          <w:szCs w:val="22"/>
        </w:rPr>
        <w:t>the treatment.</w:t>
      </w:r>
      <w:r w:rsidR="00344460" w:rsidRPr="003E5206">
        <w:rPr>
          <w:rFonts w:ascii="Arial" w:eastAsia="Arial" w:hAnsi="Arial" w:cs="Arial"/>
          <w:color w:val="000000" w:themeColor="text1"/>
          <w:sz w:val="22"/>
          <w:szCs w:val="22"/>
        </w:rPr>
        <w:t xml:space="preserve"> Two tubes of blood were extracted</w:t>
      </w:r>
      <w:r w:rsidR="00BA6145" w:rsidRPr="003E5206">
        <w:rPr>
          <w:rFonts w:ascii="Arial" w:eastAsia="Arial" w:hAnsi="Arial" w:cs="Arial"/>
          <w:color w:val="000000" w:themeColor="text1"/>
          <w:sz w:val="22"/>
          <w:szCs w:val="22"/>
        </w:rPr>
        <w:t xml:space="preserve"> and </w:t>
      </w:r>
      <w:r w:rsidR="003D4B46" w:rsidRPr="003E5206">
        <w:rPr>
          <w:rFonts w:ascii="Arial" w:eastAsia="Arial" w:hAnsi="Arial" w:cs="Arial"/>
          <w:color w:val="000000" w:themeColor="text1"/>
          <w:sz w:val="22"/>
          <w:szCs w:val="22"/>
        </w:rPr>
        <w:t>labeled</w:t>
      </w:r>
      <w:r w:rsidR="00BA6145" w:rsidRPr="003E5206">
        <w:rPr>
          <w:rFonts w:ascii="Arial" w:eastAsia="Arial" w:hAnsi="Arial" w:cs="Arial"/>
          <w:color w:val="000000" w:themeColor="text1"/>
          <w:sz w:val="22"/>
          <w:szCs w:val="22"/>
        </w:rPr>
        <w:t xml:space="preserve"> in tubes with EDTA, then those were agitated </w:t>
      </w:r>
      <w:r w:rsidR="00946D9A" w:rsidRPr="003E5206">
        <w:rPr>
          <w:rFonts w:ascii="Arial" w:eastAsia="Arial" w:hAnsi="Arial" w:cs="Arial"/>
          <w:color w:val="000000" w:themeColor="text1"/>
          <w:sz w:val="22"/>
          <w:szCs w:val="22"/>
        </w:rPr>
        <w:t>six times and centrifugated at 3500 rpm’s for ten minutes, the procedure was done the same day</w:t>
      </w:r>
      <w:r w:rsidR="00AA2F8B" w:rsidRPr="003E5206">
        <w:rPr>
          <w:rFonts w:ascii="Arial" w:eastAsia="Arial" w:hAnsi="Arial" w:cs="Arial"/>
          <w:color w:val="000000" w:themeColor="text1"/>
          <w:sz w:val="22"/>
          <w:szCs w:val="22"/>
        </w:rPr>
        <w:t xml:space="preserve">. The supernatant was taken and injected </w:t>
      </w:r>
      <w:r w:rsidR="00AC1251" w:rsidRPr="003E5206">
        <w:rPr>
          <w:rFonts w:ascii="Arial" w:eastAsia="Arial" w:hAnsi="Arial" w:cs="Arial"/>
          <w:color w:val="000000" w:themeColor="text1"/>
          <w:sz w:val="22"/>
          <w:szCs w:val="22"/>
        </w:rPr>
        <w:t xml:space="preserve">with sterile insulin needles </w:t>
      </w:r>
      <w:r w:rsidR="00207690" w:rsidRPr="003E5206">
        <w:rPr>
          <w:rFonts w:ascii="Arial" w:eastAsia="Arial" w:hAnsi="Arial" w:cs="Arial"/>
          <w:color w:val="000000" w:themeColor="text1"/>
          <w:sz w:val="22"/>
          <w:szCs w:val="22"/>
        </w:rPr>
        <w:t xml:space="preserve">under the conjunctiva, we used 500 microliters </w:t>
      </w:r>
      <w:r w:rsidR="00D1025B" w:rsidRPr="003E5206">
        <w:rPr>
          <w:rFonts w:ascii="Arial" w:eastAsia="Arial" w:hAnsi="Arial" w:cs="Arial"/>
          <w:color w:val="000000" w:themeColor="text1"/>
          <w:sz w:val="22"/>
          <w:szCs w:val="22"/>
        </w:rPr>
        <w:t>in the inferior fornix and 100 microliters in each quadrant of the perilimba</w:t>
      </w:r>
      <w:r w:rsidR="003D4B46" w:rsidRPr="003E5206">
        <w:rPr>
          <w:rFonts w:ascii="Arial" w:eastAsia="Arial" w:hAnsi="Arial" w:cs="Arial"/>
          <w:color w:val="000000" w:themeColor="text1"/>
          <w:sz w:val="22"/>
          <w:szCs w:val="22"/>
        </w:rPr>
        <w:t>l</w:t>
      </w:r>
      <w:r w:rsidR="00D1025B" w:rsidRPr="003E5206">
        <w:rPr>
          <w:rFonts w:ascii="Arial" w:eastAsia="Arial" w:hAnsi="Arial" w:cs="Arial"/>
          <w:color w:val="000000" w:themeColor="text1"/>
          <w:sz w:val="22"/>
          <w:szCs w:val="22"/>
        </w:rPr>
        <w:t xml:space="preserve"> </w:t>
      </w:r>
      <w:r w:rsidR="00B84FB1" w:rsidRPr="003E5206">
        <w:rPr>
          <w:rFonts w:ascii="Arial" w:eastAsia="Arial" w:hAnsi="Arial" w:cs="Arial"/>
          <w:color w:val="000000" w:themeColor="text1"/>
          <w:sz w:val="22"/>
          <w:szCs w:val="22"/>
        </w:rPr>
        <w:t>a</w:t>
      </w:r>
      <w:r w:rsidR="00866A40" w:rsidRPr="003E5206">
        <w:rPr>
          <w:rFonts w:ascii="Arial" w:eastAsia="Arial" w:hAnsi="Arial" w:cs="Arial"/>
          <w:color w:val="000000" w:themeColor="text1"/>
          <w:sz w:val="22"/>
          <w:szCs w:val="22"/>
        </w:rPr>
        <w:t xml:space="preserve">rea, the procedure was done identically in both eyes using each tube for each of them. </w:t>
      </w:r>
      <w:r w:rsidR="001679A9" w:rsidRPr="003E5206">
        <w:rPr>
          <w:rFonts w:ascii="Arial" w:eastAsia="Arial" w:hAnsi="Arial" w:cs="Arial"/>
          <w:color w:val="000000" w:themeColor="text1"/>
          <w:sz w:val="22"/>
          <w:szCs w:val="22"/>
        </w:rPr>
        <w:t xml:space="preserve">The patient </w:t>
      </w:r>
      <w:r w:rsidR="00A24FE7" w:rsidRPr="003E5206">
        <w:rPr>
          <w:rFonts w:ascii="Arial" w:eastAsia="Arial" w:hAnsi="Arial" w:cs="Arial"/>
          <w:color w:val="000000" w:themeColor="text1"/>
          <w:sz w:val="22"/>
          <w:szCs w:val="22"/>
        </w:rPr>
        <w:t>was checked one week and one month after the treatment.</w:t>
      </w:r>
      <w:r w:rsidR="00C43297" w:rsidRPr="003E5206">
        <w:rPr>
          <w:rFonts w:ascii="Arial" w:eastAsia="Arial" w:hAnsi="Arial" w:cs="Arial"/>
          <w:color w:val="000000" w:themeColor="text1"/>
          <w:sz w:val="22"/>
          <w:szCs w:val="22"/>
        </w:rPr>
        <w:t xml:space="preserve"> During </w:t>
      </w:r>
      <w:r w:rsidR="00D72A72" w:rsidRPr="003E5206">
        <w:rPr>
          <w:rFonts w:ascii="Arial" w:eastAsia="Arial" w:hAnsi="Arial" w:cs="Arial"/>
          <w:color w:val="000000" w:themeColor="text1"/>
          <w:sz w:val="22"/>
          <w:szCs w:val="22"/>
        </w:rPr>
        <w:t xml:space="preserve">all the visits we evaluated the symptoms using the Ocular Surface Disease Index (OSDI) and objective </w:t>
      </w:r>
      <w:r w:rsidR="005E0813" w:rsidRPr="003E5206">
        <w:rPr>
          <w:rFonts w:ascii="Arial" w:eastAsia="Arial" w:hAnsi="Arial" w:cs="Arial"/>
          <w:color w:val="000000" w:themeColor="text1"/>
          <w:sz w:val="22"/>
          <w:szCs w:val="22"/>
        </w:rPr>
        <w:t>tests including fluorescein and lissamine stains, TBUT and Schirmer test.</w:t>
      </w:r>
    </w:p>
    <w:p w14:paraId="45A12FE2" w14:textId="53B6BE47" w:rsidR="00BB0952" w:rsidRPr="003E5206" w:rsidRDefault="00BB0952" w:rsidP="008A2CC5">
      <w:pPr>
        <w:jc w:val="both"/>
        <w:rPr>
          <w:rFonts w:ascii="Arial" w:eastAsia="Arial" w:hAnsi="Arial" w:cs="Arial"/>
          <w:color w:val="000000" w:themeColor="text1"/>
          <w:sz w:val="22"/>
          <w:szCs w:val="22"/>
        </w:rPr>
      </w:pPr>
    </w:p>
    <w:p w14:paraId="24AE8715" w14:textId="7A03E50D" w:rsidR="00BB0952" w:rsidRPr="003E5206" w:rsidRDefault="00BB0952" w:rsidP="008A2CC5">
      <w:pPr>
        <w:jc w:val="both"/>
        <w:rPr>
          <w:rFonts w:ascii="Arial" w:eastAsia="Arial" w:hAnsi="Arial" w:cs="Arial"/>
          <w:color w:val="000000" w:themeColor="text1"/>
          <w:sz w:val="22"/>
          <w:szCs w:val="22"/>
        </w:rPr>
      </w:pPr>
      <w:r w:rsidRPr="003E5206">
        <w:rPr>
          <w:rFonts w:ascii="Arial" w:eastAsia="Arial" w:hAnsi="Arial" w:cs="Arial"/>
          <w:color w:val="000000" w:themeColor="text1"/>
          <w:sz w:val="22"/>
          <w:szCs w:val="22"/>
        </w:rPr>
        <w:t>A significant improvement was evidenced after the treatment</w:t>
      </w:r>
      <w:r w:rsidR="00885FFF" w:rsidRPr="003E5206">
        <w:rPr>
          <w:rFonts w:ascii="Arial" w:eastAsia="Arial" w:hAnsi="Arial" w:cs="Arial"/>
          <w:color w:val="000000" w:themeColor="text1"/>
          <w:sz w:val="22"/>
          <w:szCs w:val="22"/>
        </w:rPr>
        <w:t>, the OSDI score previous to the application of PRP was 63,63% (</w:t>
      </w:r>
      <w:r w:rsidR="00D04314" w:rsidRPr="003E5206">
        <w:rPr>
          <w:rFonts w:ascii="Arial" w:eastAsia="Arial" w:hAnsi="Arial" w:cs="Arial"/>
          <w:color w:val="000000" w:themeColor="text1"/>
          <w:sz w:val="22"/>
          <w:szCs w:val="22"/>
        </w:rPr>
        <w:t>moderate</w:t>
      </w:r>
      <w:r w:rsidR="00885FFF" w:rsidRPr="003E5206">
        <w:rPr>
          <w:rFonts w:ascii="Arial" w:eastAsia="Arial" w:hAnsi="Arial" w:cs="Arial"/>
          <w:color w:val="000000" w:themeColor="text1"/>
          <w:sz w:val="22"/>
          <w:szCs w:val="22"/>
        </w:rPr>
        <w:t xml:space="preserve"> to severe </w:t>
      </w:r>
      <w:r w:rsidR="00D04314" w:rsidRPr="003E5206">
        <w:rPr>
          <w:rFonts w:ascii="Arial" w:eastAsia="Arial" w:hAnsi="Arial" w:cs="Arial"/>
          <w:color w:val="000000" w:themeColor="text1"/>
          <w:sz w:val="22"/>
          <w:szCs w:val="22"/>
        </w:rPr>
        <w:t xml:space="preserve">grading) and 34,09% (mild to moderate grading) after the </w:t>
      </w:r>
      <w:r w:rsidR="000A45F7" w:rsidRPr="003E5206">
        <w:rPr>
          <w:rFonts w:ascii="Arial" w:eastAsia="Arial" w:hAnsi="Arial" w:cs="Arial"/>
          <w:color w:val="000000" w:themeColor="text1"/>
          <w:sz w:val="22"/>
          <w:szCs w:val="22"/>
        </w:rPr>
        <w:t>injections with PRP. Her visual acuity didn’t change significantly (OD 20/20; OS 20/60</w:t>
      </w:r>
      <w:r w:rsidR="00D34E3A" w:rsidRPr="003E5206">
        <w:rPr>
          <w:rFonts w:ascii="Arial" w:eastAsia="Arial" w:hAnsi="Arial" w:cs="Arial"/>
          <w:color w:val="000000" w:themeColor="text1"/>
          <w:sz w:val="22"/>
          <w:szCs w:val="22"/>
        </w:rPr>
        <w:t xml:space="preserve">). The fluorescein staining was markedly lower after one </w:t>
      </w:r>
      <w:r w:rsidR="0034460E" w:rsidRPr="003E5206">
        <w:rPr>
          <w:rFonts w:ascii="Arial" w:eastAsia="Arial" w:hAnsi="Arial" w:cs="Arial"/>
          <w:color w:val="000000" w:themeColor="text1"/>
          <w:sz w:val="22"/>
          <w:szCs w:val="22"/>
        </w:rPr>
        <w:t>week (Fig.</w:t>
      </w:r>
      <w:r w:rsidR="003C4D9C" w:rsidRPr="003E5206">
        <w:rPr>
          <w:rFonts w:ascii="Arial" w:eastAsia="Arial" w:hAnsi="Arial" w:cs="Arial"/>
          <w:color w:val="000000" w:themeColor="text1"/>
          <w:sz w:val="22"/>
          <w:szCs w:val="22"/>
        </w:rPr>
        <w:t xml:space="preserve"> 5 and 6), the same was evidenced with </w:t>
      </w:r>
      <w:r w:rsidR="00A21920" w:rsidRPr="003E5206">
        <w:rPr>
          <w:rFonts w:ascii="Arial" w:eastAsia="Arial" w:hAnsi="Arial" w:cs="Arial"/>
          <w:color w:val="000000" w:themeColor="text1"/>
          <w:sz w:val="22"/>
          <w:szCs w:val="22"/>
        </w:rPr>
        <w:t>the lissamine green staining (Fig. 7 and 8)</w:t>
      </w:r>
      <w:r w:rsidR="000B0750" w:rsidRPr="003E5206">
        <w:rPr>
          <w:rFonts w:ascii="Arial" w:eastAsia="Arial" w:hAnsi="Arial" w:cs="Arial"/>
          <w:color w:val="000000" w:themeColor="text1"/>
          <w:sz w:val="22"/>
          <w:szCs w:val="22"/>
        </w:rPr>
        <w:t xml:space="preserve"> with an Oxford score of I for the right </w:t>
      </w:r>
      <w:r w:rsidR="000B0750" w:rsidRPr="003E5206">
        <w:rPr>
          <w:rFonts w:ascii="Arial" w:eastAsia="Arial" w:hAnsi="Arial" w:cs="Arial"/>
          <w:color w:val="000000" w:themeColor="text1"/>
          <w:sz w:val="22"/>
          <w:szCs w:val="22"/>
        </w:rPr>
        <w:lastRenderedPageBreak/>
        <w:t xml:space="preserve">eye and II for the left one. The TBUT was 8 and 7 seconds </w:t>
      </w:r>
      <w:r w:rsidR="005F37C1" w:rsidRPr="003E5206">
        <w:rPr>
          <w:rFonts w:ascii="Arial" w:eastAsia="Arial" w:hAnsi="Arial" w:cs="Arial"/>
          <w:color w:val="000000" w:themeColor="text1"/>
          <w:sz w:val="22"/>
          <w:szCs w:val="22"/>
        </w:rPr>
        <w:t>for the right and left eye respectively, and the Schirmer test was 5 mm for both eyes.</w:t>
      </w:r>
    </w:p>
    <w:p w14:paraId="02770FEC" w14:textId="2CAA8F4D" w:rsidR="00C82390" w:rsidRPr="003E5206" w:rsidRDefault="00C82390" w:rsidP="008A2CC5">
      <w:pPr>
        <w:jc w:val="both"/>
        <w:rPr>
          <w:rFonts w:ascii="Arial" w:eastAsia="Arial" w:hAnsi="Arial" w:cs="Arial"/>
          <w:color w:val="000000" w:themeColor="text1"/>
          <w:sz w:val="22"/>
          <w:szCs w:val="22"/>
        </w:rPr>
      </w:pPr>
    </w:p>
    <w:p w14:paraId="30387A8E" w14:textId="74419A04" w:rsidR="008A2CC5" w:rsidRPr="003E5206" w:rsidRDefault="00C82390" w:rsidP="008A2CC5">
      <w:pPr>
        <w:rPr>
          <w:rFonts w:ascii="Arial" w:eastAsia="Arial" w:hAnsi="Arial" w:cs="Arial"/>
          <w:color w:val="000000" w:themeColor="text1"/>
          <w:sz w:val="22"/>
          <w:szCs w:val="22"/>
        </w:rPr>
      </w:pPr>
      <w:r w:rsidRPr="003E5206">
        <w:rPr>
          <w:rFonts w:ascii="Arial" w:eastAsia="Arial" w:hAnsi="Arial" w:cs="Arial"/>
          <w:color w:val="000000" w:themeColor="text1"/>
          <w:sz w:val="22"/>
          <w:szCs w:val="22"/>
        </w:rPr>
        <w:t>After one month of the application of subconjunctival PRP</w:t>
      </w:r>
      <w:r w:rsidR="00D03622" w:rsidRPr="003E5206">
        <w:rPr>
          <w:rFonts w:ascii="Arial" w:eastAsia="Arial" w:hAnsi="Arial" w:cs="Arial"/>
          <w:color w:val="000000" w:themeColor="text1"/>
          <w:sz w:val="22"/>
          <w:szCs w:val="22"/>
        </w:rPr>
        <w:t>,</w:t>
      </w:r>
      <w:r w:rsidRPr="003E5206">
        <w:rPr>
          <w:rFonts w:ascii="Arial" w:eastAsia="Arial" w:hAnsi="Arial" w:cs="Arial"/>
          <w:color w:val="000000" w:themeColor="text1"/>
          <w:sz w:val="22"/>
          <w:szCs w:val="22"/>
        </w:rPr>
        <w:t xml:space="preserve"> </w:t>
      </w:r>
      <w:r w:rsidR="00722617" w:rsidRPr="003E5206">
        <w:rPr>
          <w:rFonts w:ascii="Arial" w:eastAsia="Arial" w:hAnsi="Arial" w:cs="Arial"/>
          <w:color w:val="000000" w:themeColor="text1"/>
          <w:sz w:val="22"/>
          <w:szCs w:val="22"/>
        </w:rPr>
        <w:t>the changes seen after one week were stable both in the fluorescein stai</w:t>
      </w:r>
      <w:r w:rsidR="001008EA" w:rsidRPr="003E5206">
        <w:rPr>
          <w:rFonts w:ascii="Arial" w:eastAsia="Arial" w:hAnsi="Arial" w:cs="Arial"/>
          <w:color w:val="000000" w:themeColor="text1"/>
          <w:sz w:val="22"/>
          <w:szCs w:val="22"/>
        </w:rPr>
        <w:t>ning (Fig. 9 and 10) and lissamine green staining (Fig. 11 and 12). The TBUT remained in 8 seconds in both eyes and the Schirmer test was 6 and 7 mm</w:t>
      </w:r>
      <w:r w:rsidR="004D38AD" w:rsidRPr="003E5206">
        <w:rPr>
          <w:rFonts w:ascii="Arial" w:eastAsia="Arial" w:hAnsi="Arial" w:cs="Arial"/>
          <w:color w:val="000000" w:themeColor="text1"/>
          <w:sz w:val="22"/>
          <w:szCs w:val="22"/>
        </w:rPr>
        <w:t xml:space="preserve"> for the right and left eyes respec</w:t>
      </w:r>
      <w:r w:rsidR="00D03622" w:rsidRPr="003E5206">
        <w:rPr>
          <w:rFonts w:ascii="Arial" w:eastAsia="Arial" w:hAnsi="Arial" w:cs="Arial"/>
          <w:color w:val="000000" w:themeColor="text1"/>
          <w:sz w:val="22"/>
          <w:szCs w:val="22"/>
        </w:rPr>
        <w:t>tively.</w:t>
      </w:r>
      <w:r w:rsidR="00B926CB" w:rsidRPr="003E5206">
        <w:rPr>
          <w:rFonts w:ascii="Arial" w:eastAsia="Arial" w:hAnsi="Arial" w:cs="Arial"/>
          <w:color w:val="000000" w:themeColor="text1"/>
          <w:sz w:val="22"/>
          <w:szCs w:val="22"/>
        </w:rPr>
        <w:t xml:space="preserve"> There were no reported adverse effects or complications with the subconjunctival PRP administration technique.</w:t>
      </w:r>
    </w:p>
    <w:p w14:paraId="5D741C70" w14:textId="77777777" w:rsidR="00D03622" w:rsidRPr="003E5206" w:rsidRDefault="00D03622" w:rsidP="008A2CC5">
      <w:pPr>
        <w:rPr>
          <w:rFonts w:ascii="Arial" w:eastAsia="Arial" w:hAnsi="Arial" w:cs="Arial"/>
          <w:color w:val="000000" w:themeColor="text1"/>
          <w:sz w:val="22"/>
          <w:szCs w:val="22"/>
        </w:rPr>
      </w:pPr>
    </w:p>
    <w:p w14:paraId="56CCB8C8" w14:textId="03AB93A2" w:rsidR="005C4F64" w:rsidRPr="003E5206" w:rsidRDefault="00492DAE" w:rsidP="009D0D42">
      <w:pPr>
        <w:jc w:val="center"/>
        <w:rPr>
          <w:rFonts w:ascii="Arial" w:eastAsia="Arial" w:hAnsi="Arial" w:cs="Arial"/>
          <w:sz w:val="22"/>
          <w:szCs w:val="22"/>
          <w:lang w:val="es-CO"/>
        </w:rPr>
      </w:pPr>
      <w:r w:rsidRPr="003E5206">
        <w:rPr>
          <w:rFonts w:ascii="Arial" w:eastAsia="Arial" w:hAnsi="Arial" w:cs="Arial"/>
          <w:noProof/>
          <w:sz w:val="22"/>
          <w:szCs w:val="22"/>
          <w:lang w:val="es-CO" w:eastAsia="es-CO"/>
        </w:rPr>
        <w:drawing>
          <wp:inline distT="0" distB="0" distL="0" distR="0" wp14:anchorId="684B50C4" wp14:editId="325716FA">
            <wp:extent cx="3237520" cy="2019632"/>
            <wp:effectExtent l="0" t="0" r="127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iaz Ovalle, Maritza (P0650281046)_OS IKI8JUJ copy.jpg"/>
                    <pic:cNvPicPr/>
                  </pic:nvPicPr>
                  <pic:blipFill rotWithShape="1">
                    <a:blip r:embed="rId8" cstate="print">
                      <a:extLst>
                        <a:ext uri="{28A0092B-C50C-407E-A947-70E740481C1C}">
                          <a14:useLocalDpi xmlns:a14="http://schemas.microsoft.com/office/drawing/2010/main" val="0"/>
                        </a:ext>
                      </a:extLst>
                    </a:blip>
                    <a:srcRect l="23078" t="24053" r="19857" b="29024"/>
                    <a:stretch/>
                  </pic:blipFill>
                  <pic:spPr bwMode="auto">
                    <a:xfrm>
                      <a:off x="0" y="0"/>
                      <a:ext cx="3249226" cy="2026934"/>
                    </a:xfrm>
                    <a:prstGeom prst="rect">
                      <a:avLst/>
                    </a:prstGeom>
                    <a:ln>
                      <a:noFill/>
                    </a:ln>
                    <a:extLst>
                      <a:ext uri="{53640926-AAD7-44D8-BBD7-CCE9431645EC}">
                        <a14:shadowObscured xmlns:a14="http://schemas.microsoft.com/office/drawing/2010/main"/>
                      </a:ext>
                    </a:extLst>
                  </pic:spPr>
                </pic:pic>
              </a:graphicData>
            </a:graphic>
          </wp:inline>
        </w:drawing>
      </w:r>
    </w:p>
    <w:p w14:paraId="4872DF52" w14:textId="77777777" w:rsidR="00D218CE" w:rsidRDefault="00D218CE" w:rsidP="009D0D42">
      <w:pPr>
        <w:jc w:val="center"/>
        <w:rPr>
          <w:rFonts w:ascii="Arial" w:eastAsia="Arial" w:hAnsi="Arial" w:cs="Arial"/>
          <w:sz w:val="22"/>
          <w:szCs w:val="22"/>
        </w:rPr>
      </w:pPr>
    </w:p>
    <w:p w14:paraId="67BC3851" w14:textId="21F93C65" w:rsidR="005C4F64" w:rsidRPr="003E5206" w:rsidRDefault="005C4F64" w:rsidP="009D0D42">
      <w:pPr>
        <w:jc w:val="center"/>
        <w:rPr>
          <w:rFonts w:ascii="Arial" w:eastAsia="Arial" w:hAnsi="Arial" w:cs="Arial"/>
          <w:sz w:val="22"/>
          <w:szCs w:val="22"/>
        </w:rPr>
      </w:pPr>
      <w:r w:rsidRPr="003E5206">
        <w:rPr>
          <w:rFonts w:ascii="Arial" w:eastAsia="Arial" w:hAnsi="Arial" w:cs="Arial"/>
          <w:sz w:val="22"/>
          <w:szCs w:val="22"/>
        </w:rPr>
        <w:t>Figu</w:t>
      </w:r>
      <w:r w:rsidR="00D03622" w:rsidRPr="003E5206">
        <w:rPr>
          <w:rFonts w:ascii="Arial" w:eastAsia="Arial" w:hAnsi="Arial" w:cs="Arial"/>
          <w:sz w:val="22"/>
          <w:szCs w:val="22"/>
        </w:rPr>
        <w:t>re</w:t>
      </w:r>
      <w:r w:rsidRPr="003E5206">
        <w:rPr>
          <w:rFonts w:ascii="Arial" w:eastAsia="Arial" w:hAnsi="Arial" w:cs="Arial"/>
          <w:sz w:val="22"/>
          <w:szCs w:val="22"/>
        </w:rPr>
        <w:t xml:space="preserve"> 1. </w:t>
      </w:r>
      <w:r w:rsidR="00D03622" w:rsidRPr="003E5206">
        <w:rPr>
          <w:rFonts w:ascii="Arial" w:eastAsia="Arial" w:hAnsi="Arial" w:cs="Arial"/>
          <w:sz w:val="22"/>
          <w:szCs w:val="22"/>
        </w:rPr>
        <w:t>Fluorescein staining with cobalt blue filter</w:t>
      </w:r>
      <w:r w:rsidRPr="003E5206">
        <w:rPr>
          <w:rFonts w:ascii="Arial" w:eastAsia="Arial" w:hAnsi="Arial" w:cs="Arial"/>
          <w:sz w:val="22"/>
          <w:szCs w:val="22"/>
        </w:rPr>
        <w:t xml:space="preserve">. </w:t>
      </w:r>
      <w:r w:rsidR="009A6ED5" w:rsidRPr="003E5206">
        <w:rPr>
          <w:rFonts w:ascii="Arial" w:eastAsia="Arial" w:hAnsi="Arial" w:cs="Arial"/>
          <w:sz w:val="22"/>
          <w:szCs w:val="22"/>
        </w:rPr>
        <w:t>Right eye</w:t>
      </w:r>
      <w:r w:rsidR="0026619A" w:rsidRPr="003E5206">
        <w:rPr>
          <w:rFonts w:ascii="Arial" w:eastAsia="Arial" w:hAnsi="Arial" w:cs="Arial"/>
          <w:sz w:val="22"/>
          <w:szCs w:val="22"/>
        </w:rPr>
        <w:t>,</w:t>
      </w:r>
      <w:r w:rsidR="009A6ED5" w:rsidRPr="003E5206">
        <w:rPr>
          <w:rFonts w:ascii="Arial" w:eastAsia="Arial" w:hAnsi="Arial" w:cs="Arial"/>
          <w:sz w:val="22"/>
          <w:szCs w:val="22"/>
        </w:rPr>
        <w:t xml:space="preserve"> previous to the PRP administration</w:t>
      </w:r>
      <w:r w:rsidR="00492DAE" w:rsidRPr="003E5206">
        <w:rPr>
          <w:rFonts w:ascii="Arial" w:eastAsia="Arial" w:hAnsi="Arial" w:cs="Arial"/>
          <w:sz w:val="22"/>
          <w:szCs w:val="22"/>
        </w:rPr>
        <w:t>.</w:t>
      </w:r>
    </w:p>
    <w:p w14:paraId="16693256" w14:textId="77777777" w:rsidR="005C4F64" w:rsidRPr="003E5206" w:rsidRDefault="005C4F64">
      <w:pPr>
        <w:rPr>
          <w:rFonts w:ascii="Arial" w:eastAsia="Arial" w:hAnsi="Arial" w:cs="Arial"/>
          <w:sz w:val="22"/>
          <w:szCs w:val="22"/>
        </w:rPr>
      </w:pPr>
    </w:p>
    <w:p w14:paraId="25F30B9D" w14:textId="7798333E" w:rsidR="00492DAE" w:rsidRPr="003E5206" w:rsidRDefault="00492DAE" w:rsidP="009D0D42">
      <w:pPr>
        <w:jc w:val="center"/>
        <w:rPr>
          <w:rFonts w:ascii="Arial" w:eastAsia="Arial" w:hAnsi="Arial" w:cs="Arial"/>
          <w:sz w:val="22"/>
          <w:szCs w:val="22"/>
        </w:rPr>
      </w:pPr>
      <w:r w:rsidRPr="003E5206">
        <w:rPr>
          <w:rFonts w:ascii="Arial" w:eastAsia="Arial" w:hAnsi="Arial" w:cs="Arial"/>
          <w:noProof/>
          <w:sz w:val="22"/>
          <w:szCs w:val="22"/>
          <w:lang w:val="es-CO" w:eastAsia="es-CO"/>
        </w:rPr>
        <w:drawing>
          <wp:inline distT="0" distB="0" distL="0" distR="0" wp14:anchorId="24F2DA45" wp14:editId="5A9D08C6">
            <wp:extent cx="3204376" cy="2431012"/>
            <wp:effectExtent l="0" t="0" r="0"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iaz Ovalle, Maritza (P0650281046)_OS (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30600" cy="2450907"/>
                    </a:xfrm>
                    <a:prstGeom prst="rect">
                      <a:avLst/>
                    </a:prstGeom>
                  </pic:spPr>
                </pic:pic>
              </a:graphicData>
            </a:graphic>
          </wp:inline>
        </w:drawing>
      </w:r>
    </w:p>
    <w:p w14:paraId="266CEBB9" w14:textId="77777777" w:rsidR="00D218CE" w:rsidRDefault="00D218CE" w:rsidP="009D0D42">
      <w:pPr>
        <w:jc w:val="center"/>
        <w:rPr>
          <w:rFonts w:ascii="Arial" w:eastAsia="Arial" w:hAnsi="Arial" w:cs="Arial"/>
          <w:sz w:val="22"/>
          <w:szCs w:val="22"/>
        </w:rPr>
      </w:pPr>
    </w:p>
    <w:p w14:paraId="0013F6B9" w14:textId="0E5D0799" w:rsidR="005C4F64" w:rsidRPr="003E5206" w:rsidRDefault="005C4F64" w:rsidP="009D0D42">
      <w:pPr>
        <w:jc w:val="center"/>
        <w:rPr>
          <w:rFonts w:ascii="Arial" w:eastAsia="Arial" w:hAnsi="Arial" w:cs="Arial"/>
          <w:sz w:val="22"/>
          <w:szCs w:val="22"/>
        </w:rPr>
      </w:pPr>
      <w:r w:rsidRPr="003E5206">
        <w:rPr>
          <w:rFonts w:ascii="Arial" w:eastAsia="Arial" w:hAnsi="Arial" w:cs="Arial"/>
          <w:sz w:val="22"/>
          <w:szCs w:val="22"/>
        </w:rPr>
        <w:t>Figur</w:t>
      </w:r>
      <w:r w:rsidR="009A6ED5" w:rsidRPr="003E5206">
        <w:rPr>
          <w:rFonts w:ascii="Arial" w:eastAsia="Arial" w:hAnsi="Arial" w:cs="Arial"/>
          <w:sz w:val="22"/>
          <w:szCs w:val="22"/>
        </w:rPr>
        <w:t>e</w:t>
      </w:r>
      <w:r w:rsidRPr="003E5206">
        <w:rPr>
          <w:rFonts w:ascii="Arial" w:eastAsia="Arial" w:hAnsi="Arial" w:cs="Arial"/>
          <w:sz w:val="22"/>
          <w:szCs w:val="22"/>
        </w:rPr>
        <w:t xml:space="preserve"> 2. </w:t>
      </w:r>
      <w:r w:rsidR="009A6ED5" w:rsidRPr="003E5206">
        <w:rPr>
          <w:rFonts w:ascii="Arial" w:eastAsia="Arial" w:hAnsi="Arial" w:cs="Arial"/>
          <w:sz w:val="22"/>
          <w:szCs w:val="22"/>
        </w:rPr>
        <w:t>Fluorescein staining with cobalt blue filter. Left eye</w:t>
      </w:r>
      <w:r w:rsidR="0026619A" w:rsidRPr="003E5206">
        <w:rPr>
          <w:rFonts w:ascii="Arial" w:eastAsia="Arial" w:hAnsi="Arial" w:cs="Arial"/>
          <w:sz w:val="22"/>
          <w:szCs w:val="22"/>
        </w:rPr>
        <w:t>,</w:t>
      </w:r>
      <w:r w:rsidR="009A6ED5" w:rsidRPr="003E5206">
        <w:rPr>
          <w:rFonts w:ascii="Arial" w:eastAsia="Arial" w:hAnsi="Arial" w:cs="Arial"/>
          <w:sz w:val="22"/>
          <w:szCs w:val="22"/>
        </w:rPr>
        <w:t xml:space="preserve"> previous to the PRP administration</w:t>
      </w:r>
      <w:r w:rsidR="00492DAE" w:rsidRPr="003E5206">
        <w:rPr>
          <w:rFonts w:ascii="Arial" w:eastAsia="Arial" w:hAnsi="Arial" w:cs="Arial"/>
          <w:sz w:val="22"/>
          <w:szCs w:val="22"/>
        </w:rPr>
        <w:t>.</w:t>
      </w:r>
    </w:p>
    <w:p w14:paraId="7D62E9B7" w14:textId="781F95D1" w:rsidR="005C4F64" w:rsidRPr="003E5206" w:rsidRDefault="005C4F64">
      <w:pPr>
        <w:rPr>
          <w:rFonts w:ascii="Arial" w:eastAsia="Arial" w:hAnsi="Arial" w:cs="Arial"/>
          <w:sz w:val="22"/>
          <w:szCs w:val="22"/>
        </w:rPr>
      </w:pPr>
    </w:p>
    <w:p w14:paraId="7EBC4260" w14:textId="4A15FB4D" w:rsidR="008C55C9" w:rsidRPr="003E5206" w:rsidRDefault="008C55C9" w:rsidP="009D0D42">
      <w:pPr>
        <w:jc w:val="center"/>
        <w:rPr>
          <w:rFonts w:ascii="Arial" w:eastAsia="Arial" w:hAnsi="Arial" w:cs="Arial"/>
          <w:sz w:val="22"/>
          <w:szCs w:val="22"/>
          <w:lang w:val="es-CO"/>
        </w:rPr>
      </w:pPr>
      <w:r w:rsidRPr="003E5206">
        <w:rPr>
          <w:rFonts w:ascii="Arial" w:eastAsia="Arial" w:hAnsi="Arial" w:cs="Arial"/>
          <w:noProof/>
          <w:sz w:val="22"/>
          <w:szCs w:val="22"/>
          <w:lang w:val="es-CO" w:eastAsia="es-CO"/>
        </w:rPr>
        <w:lastRenderedPageBreak/>
        <w:drawing>
          <wp:inline distT="0" distB="0" distL="0" distR="0" wp14:anchorId="4856950F" wp14:editId="3CDF1E84">
            <wp:extent cx="2878372" cy="2183689"/>
            <wp:effectExtent l="0" t="0" r="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iaz Ovalle, Maritza (P0650281046)_OS (1)LKJ.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10127" cy="2207780"/>
                    </a:xfrm>
                    <a:prstGeom prst="rect">
                      <a:avLst/>
                    </a:prstGeom>
                  </pic:spPr>
                </pic:pic>
              </a:graphicData>
            </a:graphic>
          </wp:inline>
        </w:drawing>
      </w:r>
    </w:p>
    <w:p w14:paraId="430D651E" w14:textId="476F27F7" w:rsidR="008C55C9" w:rsidRPr="003E5206" w:rsidRDefault="008C55C9" w:rsidP="009D0D42">
      <w:pPr>
        <w:jc w:val="center"/>
        <w:rPr>
          <w:rFonts w:ascii="Arial" w:eastAsia="Arial" w:hAnsi="Arial" w:cs="Arial"/>
          <w:sz w:val="22"/>
          <w:szCs w:val="22"/>
        </w:rPr>
      </w:pPr>
      <w:r w:rsidRPr="003E5206">
        <w:rPr>
          <w:rFonts w:ascii="Arial" w:eastAsia="Arial" w:hAnsi="Arial" w:cs="Arial"/>
          <w:sz w:val="22"/>
          <w:szCs w:val="22"/>
        </w:rPr>
        <w:t>Figur</w:t>
      </w:r>
      <w:r w:rsidR="009A6ED5" w:rsidRPr="003E5206">
        <w:rPr>
          <w:rFonts w:ascii="Arial" w:eastAsia="Arial" w:hAnsi="Arial" w:cs="Arial"/>
          <w:sz w:val="22"/>
          <w:szCs w:val="22"/>
        </w:rPr>
        <w:t>e</w:t>
      </w:r>
      <w:r w:rsidRPr="003E5206">
        <w:rPr>
          <w:rFonts w:ascii="Arial" w:eastAsia="Arial" w:hAnsi="Arial" w:cs="Arial"/>
          <w:sz w:val="22"/>
          <w:szCs w:val="22"/>
        </w:rPr>
        <w:t xml:space="preserve"> 3. </w:t>
      </w:r>
      <w:r w:rsidR="009A6ED5" w:rsidRPr="003E5206">
        <w:rPr>
          <w:rFonts w:ascii="Arial" w:eastAsia="Arial" w:hAnsi="Arial" w:cs="Arial"/>
          <w:sz w:val="22"/>
          <w:szCs w:val="22"/>
        </w:rPr>
        <w:t>Lissamine green staining</w:t>
      </w:r>
      <w:r w:rsidRPr="003E5206">
        <w:rPr>
          <w:rFonts w:ascii="Arial" w:eastAsia="Arial" w:hAnsi="Arial" w:cs="Arial"/>
          <w:sz w:val="22"/>
          <w:szCs w:val="22"/>
        </w:rPr>
        <w:t xml:space="preserve">. </w:t>
      </w:r>
      <w:r w:rsidR="009A6ED5" w:rsidRPr="003E5206">
        <w:rPr>
          <w:rFonts w:ascii="Arial" w:eastAsia="Arial" w:hAnsi="Arial" w:cs="Arial"/>
          <w:sz w:val="22"/>
          <w:szCs w:val="22"/>
        </w:rPr>
        <w:t>Right eye</w:t>
      </w:r>
      <w:r w:rsidR="0026619A" w:rsidRPr="003E5206">
        <w:rPr>
          <w:rFonts w:ascii="Arial" w:eastAsia="Arial" w:hAnsi="Arial" w:cs="Arial"/>
          <w:sz w:val="22"/>
          <w:szCs w:val="22"/>
        </w:rPr>
        <w:t>,</w:t>
      </w:r>
      <w:r w:rsidR="009A6ED5" w:rsidRPr="003E5206">
        <w:rPr>
          <w:rFonts w:ascii="Arial" w:eastAsia="Arial" w:hAnsi="Arial" w:cs="Arial"/>
          <w:sz w:val="22"/>
          <w:szCs w:val="22"/>
        </w:rPr>
        <w:t xml:space="preserve"> previous to the PRP administration</w:t>
      </w:r>
      <w:r w:rsidRPr="003E5206">
        <w:rPr>
          <w:rFonts w:ascii="Arial" w:eastAsia="Arial" w:hAnsi="Arial" w:cs="Arial"/>
          <w:sz w:val="22"/>
          <w:szCs w:val="22"/>
        </w:rPr>
        <w:t>.</w:t>
      </w:r>
    </w:p>
    <w:p w14:paraId="1E5EFDD8" w14:textId="77777777" w:rsidR="008C55C9" w:rsidRPr="003E5206" w:rsidRDefault="008C55C9">
      <w:pPr>
        <w:rPr>
          <w:rFonts w:ascii="Arial" w:eastAsia="Arial" w:hAnsi="Arial" w:cs="Arial"/>
          <w:sz w:val="22"/>
          <w:szCs w:val="22"/>
        </w:rPr>
      </w:pPr>
    </w:p>
    <w:p w14:paraId="0000001D" w14:textId="042EAC3E" w:rsidR="0099074E" w:rsidRPr="003E5206" w:rsidRDefault="008C55C9" w:rsidP="009D0D42">
      <w:pPr>
        <w:jc w:val="center"/>
        <w:rPr>
          <w:rFonts w:ascii="Arial" w:eastAsia="Arial" w:hAnsi="Arial" w:cs="Arial"/>
          <w:sz w:val="22"/>
          <w:szCs w:val="22"/>
          <w:lang w:val="es-CO"/>
        </w:rPr>
      </w:pPr>
      <w:r w:rsidRPr="003E5206">
        <w:rPr>
          <w:rFonts w:ascii="Arial" w:eastAsia="Arial" w:hAnsi="Arial" w:cs="Arial"/>
          <w:noProof/>
          <w:sz w:val="22"/>
          <w:szCs w:val="22"/>
          <w:lang w:val="es-CO" w:eastAsia="es-CO"/>
        </w:rPr>
        <w:drawing>
          <wp:inline distT="0" distB="0" distL="0" distR="0" wp14:anchorId="0D92670C" wp14:editId="350E0E04">
            <wp:extent cx="2926080" cy="2219881"/>
            <wp:effectExtent l="0" t="0" r="762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iaz Ovalle, Maritza (P0650281046)_OD (4)HH.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64497" cy="2249026"/>
                    </a:xfrm>
                    <a:prstGeom prst="rect">
                      <a:avLst/>
                    </a:prstGeom>
                  </pic:spPr>
                </pic:pic>
              </a:graphicData>
            </a:graphic>
          </wp:inline>
        </w:drawing>
      </w:r>
    </w:p>
    <w:p w14:paraId="68DB7245" w14:textId="77777777" w:rsidR="00D218CE" w:rsidRDefault="00D218CE" w:rsidP="009D0D42">
      <w:pPr>
        <w:jc w:val="center"/>
        <w:rPr>
          <w:rFonts w:ascii="Arial" w:eastAsia="Arial" w:hAnsi="Arial" w:cs="Arial"/>
          <w:sz w:val="22"/>
          <w:szCs w:val="22"/>
        </w:rPr>
      </w:pPr>
    </w:p>
    <w:p w14:paraId="4993A674" w14:textId="1160BE3F" w:rsidR="008C55C9" w:rsidRPr="003E5206" w:rsidRDefault="008C55C9" w:rsidP="009D0D42">
      <w:pPr>
        <w:jc w:val="center"/>
        <w:rPr>
          <w:rFonts w:ascii="Arial" w:eastAsia="Arial" w:hAnsi="Arial" w:cs="Arial"/>
          <w:sz w:val="22"/>
          <w:szCs w:val="22"/>
        </w:rPr>
      </w:pPr>
      <w:r w:rsidRPr="003E5206">
        <w:rPr>
          <w:rFonts w:ascii="Arial" w:eastAsia="Arial" w:hAnsi="Arial" w:cs="Arial"/>
          <w:sz w:val="22"/>
          <w:szCs w:val="22"/>
        </w:rPr>
        <w:t>Figur</w:t>
      </w:r>
      <w:r w:rsidR="009A6ED5" w:rsidRPr="003E5206">
        <w:rPr>
          <w:rFonts w:ascii="Arial" w:eastAsia="Arial" w:hAnsi="Arial" w:cs="Arial"/>
          <w:sz w:val="22"/>
          <w:szCs w:val="22"/>
        </w:rPr>
        <w:t>e</w:t>
      </w:r>
      <w:r w:rsidRPr="003E5206">
        <w:rPr>
          <w:rFonts w:ascii="Arial" w:eastAsia="Arial" w:hAnsi="Arial" w:cs="Arial"/>
          <w:sz w:val="22"/>
          <w:szCs w:val="22"/>
        </w:rPr>
        <w:t xml:space="preserve"> 4. </w:t>
      </w:r>
      <w:r w:rsidR="009A6ED5" w:rsidRPr="003E5206">
        <w:rPr>
          <w:rFonts w:ascii="Arial" w:eastAsia="Arial" w:hAnsi="Arial" w:cs="Arial"/>
          <w:sz w:val="22"/>
          <w:szCs w:val="22"/>
        </w:rPr>
        <w:t>Lissamine green staining. Left eye</w:t>
      </w:r>
      <w:r w:rsidR="0026619A" w:rsidRPr="003E5206">
        <w:rPr>
          <w:rFonts w:ascii="Arial" w:eastAsia="Arial" w:hAnsi="Arial" w:cs="Arial"/>
          <w:sz w:val="22"/>
          <w:szCs w:val="22"/>
        </w:rPr>
        <w:t>,</w:t>
      </w:r>
      <w:r w:rsidR="009A6ED5" w:rsidRPr="003E5206">
        <w:rPr>
          <w:rFonts w:ascii="Arial" w:eastAsia="Arial" w:hAnsi="Arial" w:cs="Arial"/>
          <w:sz w:val="22"/>
          <w:szCs w:val="22"/>
        </w:rPr>
        <w:t xml:space="preserve"> previous to the PRP administration.</w:t>
      </w:r>
    </w:p>
    <w:p w14:paraId="303BA9FF" w14:textId="7BF56D9B" w:rsidR="008C55C9" w:rsidRPr="003E5206" w:rsidRDefault="008C55C9" w:rsidP="00B24CC6">
      <w:pPr>
        <w:jc w:val="both"/>
        <w:rPr>
          <w:rFonts w:ascii="Arial" w:eastAsia="Arial" w:hAnsi="Arial" w:cs="Arial"/>
          <w:sz w:val="22"/>
          <w:szCs w:val="22"/>
        </w:rPr>
      </w:pPr>
    </w:p>
    <w:p w14:paraId="236AC4DB" w14:textId="669FEC0A" w:rsidR="009D0D42" w:rsidRPr="003E5206" w:rsidRDefault="009D0D42" w:rsidP="009D0D42">
      <w:pPr>
        <w:jc w:val="center"/>
        <w:rPr>
          <w:rFonts w:ascii="Arial" w:eastAsia="Arial" w:hAnsi="Arial" w:cs="Arial"/>
          <w:sz w:val="22"/>
          <w:szCs w:val="22"/>
          <w:lang w:val="es-CO"/>
        </w:rPr>
      </w:pPr>
      <w:r w:rsidRPr="003E5206">
        <w:rPr>
          <w:rFonts w:ascii="Arial" w:eastAsia="Arial" w:hAnsi="Arial" w:cs="Arial"/>
          <w:noProof/>
          <w:sz w:val="22"/>
          <w:szCs w:val="22"/>
          <w:lang w:val="es-CO" w:eastAsia="es-CO"/>
        </w:rPr>
        <w:drawing>
          <wp:inline distT="0" distB="0" distL="0" distR="0" wp14:anchorId="202F38B1" wp14:editId="5938888D">
            <wp:extent cx="2941982" cy="2231946"/>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iaz Ovalle, Maritza (P0650281046)_OD (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60148" cy="2245727"/>
                    </a:xfrm>
                    <a:prstGeom prst="rect">
                      <a:avLst/>
                    </a:prstGeom>
                  </pic:spPr>
                </pic:pic>
              </a:graphicData>
            </a:graphic>
          </wp:inline>
        </w:drawing>
      </w:r>
    </w:p>
    <w:p w14:paraId="45BBB43B" w14:textId="77777777" w:rsidR="00D218CE" w:rsidRDefault="00D218CE" w:rsidP="009D0D42">
      <w:pPr>
        <w:jc w:val="center"/>
        <w:rPr>
          <w:rFonts w:ascii="Arial" w:eastAsia="Arial" w:hAnsi="Arial" w:cs="Arial"/>
          <w:sz w:val="22"/>
          <w:szCs w:val="22"/>
        </w:rPr>
      </w:pPr>
    </w:p>
    <w:p w14:paraId="3BEFAC6E" w14:textId="6FBB150D" w:rsidR="009D0D42" w:rsidRPr="003E5206" w:rsidRDefault="009D0D42" w:rsidP="009D0D42">
      <w:pPr>
        <w:jc w:val="center"/>
        <w:rPr>
          <w:rFonts w:ascii="Arial" w:eastAsia="Arial" w:hAnsi="Arial" w:cs="Arial"/>
          <w:sz w:val="22"/>
          <w:szCs w:val="22"/>
        </w:rPr>
      </w:pPr>
      <w:r w:rsidRPr="003E5206">
        <w:rPr>
          <w:rFonts w:ascii="Arial" w:eastAsia="Arial" w:hAnsi="Arial" w:cs="Arial"/>
          <w:sz w:val="22"/>
          <w:szCs w:val="22"/>
        </w:rPr>
        <w:t>Figur</w:t>
      </w:r>
      <w:r w:rsidR="0026619A" w:rsidRPr="003E5206">
        <w:rPr>
          <w:rFonts w:ascii="Arial" w:eastAsia="Arial" w:hAnsi="Arial" w:cs="Arial"/>
          <w:sz w:val="22"/>
          <w:szCs w:val="22"/>
        </w:rPr>
        <w:t>e</w:t>
      </w:r>
      <w:r w:rsidRPr="003E5206">
        <w:rPr>
          <w:rFonts w:ascii="Arial" w:eastAsia="Arial" w:hAnsi="Arial" w:cs="Arial"/>
          <w:sz w:val="22"/>
          <w:szCs w:val="22"/>
        </w:rPr>
        <w:t xml:space="preserve"> 5. </w:t>
      </w:r>
      <w:r w:rsidR="0026619A" w:rsidRPr="003E5206">
        <w:rPr>
          <w:rFonts w:ascii="Arial" w:eastAsia="Arial" w:hAnsi="Arial" w:cs="Arial"/>
          <w:sz w:val="22"/>
          <w:szCs w:val="22"/>
        </w:rPr>
        <w:t>Fluorescein staining with cobalt blue filter. Right eye, one week after the PRP administration</w:t>
      </w:r>
      <w:r w:rsidR="00E65B86" w:rsidRPr="003E5206">
        <w:rPr>
          <w:rFonts w:ascii="Arial" w:eastAsia="Arial" w:hAnsi="Arial" w:cs="Arial"/>
          <w:sz w:val="22"/>
          <w:szCs w:val="22"/>
        </w:rPr>
        <w:t>.</w:t>
      </w:r>
    </w:p>
    <w:p w14:paraId="3E14B850" w14:textId="4631CE35" w:rsidR="009D0D42" w:rsidRPr="003E5206" w:rsidRDefault="009D0D42" w:rsidP="008C55C9">
      <w:pPr>
        <w:rPr>
          <w:rFonts w:ascii="Arial" w:eastAsia="Arial" w:hAnsi="Arial" w:cs="Arial"/>
          <w:sz w:val="22"/>
          <w:szCs w:val="22"/>
        </w:rPr>
      </w:pPr>
    </w:p>
    <w:p w14:paraId="7FC095DA" w14:textId="0934BF87" w:rsidR="009D0D42" w:rsidRPr="003E5206" w:rsidRDefault="009D0D42" w:rsidP="009D0D42">
      <w:pPr>
        <w:jc w:val="center"/>
        <w:rPr>
          <w:rFonts w:ascii="Arial" w:eastAsia="Arial" w:hAnsi="Arial" w:cs="Arial"/>
          <w:sz w:val="22"/>
          <w:szCs w:val="22"/>
          <w:lang w:val="es-CO"/>
        </w:rPr>
      </w:pPr>
      <w:r w:rsidRPr="003E5206">
        <w:rPr>
          <w:rFonts w:ascii="Arial" w:eastAsia="Arial" w:hAnsi="Arial" w:cs="Arial"/>
          <w:noProof/>
          <w:sz w:val="22"/>
          <w:szCs w:val="22"/>
          <w:lang w:val="es-CO" w:eastAsia="es-CO"/>
        </w:rPr>
        <w:lastRenderedPageBreak/>
        <w:drawing>
          <wp:inline distT="0" distB="0" distL="0" distR="0" wp14:anchorId="47A45B1C" wp14:editId="1C908100">
            <wp:extent cx="3121572" cy="2368193"/>
            <wp:effectExtent l="0" t="0" r="317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iaz Ovalle, Maritza (P0650281046)_OS (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40822" cy="2382797"/>
                    </a:xfrm>
                    <a:prstGeom prst="rect">
                      <a:avLst/>
                    </a:prstGeom>
                  </pic:spPr>
                </pic:pic>
              </a:graphicData>
            </a:graphic>
          </wp:inline>
        </w:drawing>
      </w:r>
    </w:p>
    <w:p w14:paraId="6EB1A4B4" w14:textId="77777777" w:rsidR="00D218CE" w:rsidRDefault="00D218CE" w:rsidP="009D0D42">
      <w:pPr>
        <w:jc w:val="center"/>
        <w:rPr>
          <w:rFonts w:ascii="Arial" w:eastAsia="Arial" w:hAnsi="Arial" w:cs="Arial"/>
          <w:sz w:val="22"/>
          <w:szCs w:val="22"/>
        </w:rPr>
      </w:pPr>
    </w:p>
    <w:p w14:paraId="43E2007C" w14:textId="2070DB61" w:rsidR="009D0D42" w:rsidRPr="003E5206" w:rsidRDefault="009D0D42" w:rsidP="009D0D42">
      <w:pPr>
        <w:jc w:val="center"/>
        <w:rPr>
          <w:rFonts w:ascii="Arial" w:eastAsia="Arial" w:hAnsi="Arial" w:cs="Arial"/>
          <w:sz w:val="22"/>
          <w:szCs w:val="22"/>
        </w:rPr>
      </w:pPr>
      <w:r w:rsidRPr="003E5206">
        <w:rPr>
          <w:rFonts w:ascii="Arial" w:eastAsia="Arial" w:hAnsi="Arial" w:cs="Arial"/>
          <w:sz w:val="22"/>
          <w:szCs w:val="22"/>
        </w:rPr>
        <w:t>Figur</w:t>
      </w:r>
      <w:r w:rsidR="00E65B86" w:rsidRPr="003E5206">
        <w:rPr>
          <w:rFonts w:ascii="Arial" w:eastAsia="Arial" w:hAnsi="Arial" w:cs="Arial"/>
          <w:sz w:val="22"/>
          <w:szCs w:val="22"/>
        </w:rPr>
        <w:t>e</w:t>
      </w:r>
      <w:r w:rsidRPr="003E5206">
        <w:rPr>
          <w:rFonts w:ascii="Arial" w:eastAsia="Arial" w:hAnsi="Arial" w:cs="Arial"/>
          <w:sz w:val="22"/>
          <w:szCs w:val="22"/>
        </w:rPr>
        <w:t xml:space="preserve"> 6</w:t>
      </w:r>
      <w:r w:rsidR="00E65B86" w:rsidRPr="003E5206">
        <w:rPr>
          <w:rFonts w:ascii="Arial" w:eastAsia="Arial" w:hAnsi="Arial" w:cs="Arial"/>
          <w:sz w:val="22"/>
          <w:szCs w:val="22"/>
        </w:rPr>
        <w:t>. Fluorescein staining with cobalt blue filter. Left eye, one week after the PRP administration.</w:t>
      </w:r>
    </w:p>
    <w:p w14:paraId="6084CC73" w14:textId="60A683CB" w:rsidR="009D0D42" w:rsidRPr="003E5206" w:rsidRDefault="009D0D42" w:rsidP="009D0D42">
      <w:pPr>
        <w:jc w:val="center"/>
        <w:rPr>
          <w:rFonts w:ascii="Arial" w:eastAsia="Arial" w:hAnsi="Arial" w:cs="Arial"/>
          <w:sz w:val="22"/>
          <w:szCs w:val="22"/>
          <w:lang w:val="es-CO"/>
        </w:rPr>
      </w:pPr>
      <w:r w:rsidRPr="003E5206">
        <w:rPr>
          <w:rFonts w:ascii="Arial" w:eastAsia="Arial" w:hAnsi="Arial" w:cs="Arial"/>
          <w:noProof/>
          <w:sz w:val="22"/>
          <w:szCs w:val="22"/>
          <w:lang w:val="es-CO" w:eastAsia="es-CO"/>
        </w:rPr>
        <w:drawing>
          <wp:inline distT="0" distB="0" distL="0" distR="0" wp14:anchorId="6F1AF276" wp14:editId="01FB87B7">
            <wp:extent cx="3241820" cy="245942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iaz Ovalle, Maritza (P0650281046)_OD.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65619" cy="2477475"/>
                    </a:xfrm>
                    <a:prstGeom prst="rect">
                      <a:avLst/>
                    </a:prstGeom>
                  </pic:spPr>
                </pic:pic>
              </a:graphicData>
            </a:graphic>
          </wp:inline>
        </w:drawing>
      </w:r>
    </w:p>
    <w:p w14:paraId="29922351" w14:textId="77777777" w:rsidR="00D218CE" w:rsidRDefault="00D218CE" w:rsidP="009D0D42">
      <w:pPr>
        <w:jc w:val="center"/>
        <w:rPr>
          <w:rFonts w:ascii="Arial" w:eastAsia="Arial" w:hAnsi="Arial" w:cs="Arial"/>
          <w:sz w:val="22"/>
          <w:szCs w:val="22"/>
        </w:rPr>
      </w:pPr>
    </w:p>
    <w:p w14:paraId="372D51C1" w14:textId="2D12F9D4" w:rsidR="009D0D42" w:rsidRPr="003E5206" w:rsidRDefault="009D0D42" w:rsidP="009D0D42">
      <w:pPr>
        <w:jc w:val="center"/>
        <w:rPr>
          <w:rFonts w:ascii="Arial" w:eastAsia="Arial" w:hAnsi="Arial" w:cs="Arial"/>
          <w:sz w:val="22"/>
          <w:szCs w:val="22"/>
        </w:rPr>
      </w:pPr>
      <w:r w:rsidRPr="003E5206">
        <w:rPr>
          <w:rFonts w:ascii="Arial" w:eastAsia="Arial" w:hAnsi="Arial" w:cs="Arial"/>
          <w:sz w:val="22"/>
          <w:szCs w:val="22"/>
        </w:rPr>
        <w:t>Figur</w:t>
      </w:r>
      <w:r w:rsidR="00D5335C" w:rsidRPr="003E5206">
        <w:rPr>
          <w:rFonts w:ascii="Arial" w:eastAsia="Arial" w:hAnsi="Arial" w:cs="Arial"/>
          <w:sz w:val="22"/>
          <w:szCs w:val="22"/>
        </w:rPr>
        <w:t>e</w:t>
      </w:r>
      <w:r w:rsidRPr="003E5206">
        <w:rPr>
          <w:rFonts w:ascii="Arial" w:eastAsia="Arial" w:hAnsi="Arial" w:cs="Arial"/>
          <w:sz w:val="22"/>
          <w:szCs w:val="22"/>
        </w:rPr>
        <w:t xml:space="preserve"> 7. </w:t>
      </w:r>
      <w:r w:rsidR="00D5335C" w:rsidRPr="003E5206">
        <w:rPr>
          <w:rFonts w:ascii="Arial" w:eastAsia="Arial" w:hAnsi="Arial" w:cs="Arial"/>
          <w:sz w:val="22"/>
          <w:szCs w:val="22"/>
        </w:rPr>
        <w:t>Lissamine green staining. Right eye, one week after the PRP administration.</w:t>
      </w:r>
    </w:p>
    <w:p w14:paraId="7629A860" w14:textId="1DA09A0B" w:rsidR="009D0D42" w:rsidRPr="003E5206" w:rsidRDefault="009D0D42" w:rsidP="009D0D42">
      <w:pPr>
        <w:jc w:val="center"/>
        <w:rPr>
          <w:rFonts w:ascii="Arial" w:eastAsia="Arial" w:hAnsi="Arial" w:cs="Arial"/>
          <w:sz w:val="22"/>
          <w:szCs w:val="22"/>
        </w:rPr>
      </w:pPr>
    </w:p>
    <w:p w14:paraId="666197DE" w14:textId="77777777" w:rsidR="00D218CE" w:rsidRDefault="00D218CE" w:rsidP="009D0D42">
      <w:pPr>
        <w:jc w:val="center"/>
        <w:rPr>
          <w:rFonts w:ascii="Arial" w:eastAsia="Arial" w:hAnsi="Arial" w:cs="Arial"/>
          <w:sz w:val="22"/>
          <w:szCs w:val="22"/>
          <w:lang w:val="es-CO"/>
        </w:rPr>
      </w:pPr>
    </w:p>
    <w:p w14:paraId="354258BC" w14:textId="0586673A" w:rsidR="009D0D42" w:rsidRPr="003E5206" w:rsidRDefault="009D0D42" w:rsidP="009D0D42">
      <w:pPr>
        <w:jc w:val="center"/>
        <w:rPr>
          <w:rFonts w:ascii="Arial" w:eastAsia="Arial" w:hAnsi="Arial" w:cs="Arial"/>
          <w:sz w:val="22"/>
          <w:szCs w:val="22"/>
          <w:lang w:val="es-CO"/>
        </w:rPr>
      </w:pPr>
      <w:r w:rsidRPr="003E5206">
        <w:rPr>
          <w:rFonts w:ascii="Arial" w:eastAsia="Arial" w:hAnsi="Arial" w:cs="Arial"/>
          <w:noProof/>
          <w:sz w:val="22"/>
          <w:szCs w:val="22"/>
          <w:lang w:val="es-CO" w:eastAsia="es-CO"/>
        </w:rPr>
        <w:lastRenderedPageBreak/>
        <w:drawing>
          <wp:inline distT="0" distB="0" distL="0" distR="0" wp14:anchorId="1032C223" wp14:editId="2882F8F7">
            <wp:extent cx="3840118" cy="2913321"/>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iaz Ovalle, Maritza (P0650281046)_OS.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877443" cy="2941638"/>
                    </a:xfrm>
                    <a:prstGeom prst="rect">
                      <a:avLst/>
                    </a:prstGeom>
                  </pic:spPr>
                </pic:pic>
              </a:graphicData>
            </a:graphic>
          </wp:inline>
        </w:drawing>
      </w:r>
    </w:p>
    <w:p w14:paraId="490C0E64" w14:textId="77777777" w:rsidR="00D218CE" w:rsidRDefault="00D218CE" w:rsidP="00B65F1E">
      <w:pPr>
        <w:jc w:val="center"/>
        <w:rPr>
          <w:rFonts w:ascii="Arial" w:eastAsia="Arial" w:hAnsi="Arial" w:cs="Arial"/>
          <w:sz w:val="22"/>
          <w:szCs w:val="22"/>
        </w:rPr>
      </w:pPr>
    </w:p>
    <w:p w14:paraId="1C6721BE" w14:textId="59941859" w:rsidR="00B65F1E" w:rsidRPr="003E5206" w:rsidRDefault="009D0D42" w:rsidP="00B65F1E">
      <w:pPr>
        <w:jc w:val="center"/>
        <w:rPr>
          <w:rFonts w:ascii="Arial" w:eastAsia="Arial" w:hAnsi="Arial" w:cs="Arial"/>
          <w:sz w:val="22"/>
          <w:szCs w:val="22"/>
        </w:rPr>
      </w:pPr>
      <w:r w:rsidRPr="003E5206">
        <w:rPr>
          <w:rFonts w:ascii="Arial" w:eastAsia="Arial" w:hAnsi="Arial" w:cs="Arial"/>
          <w:sz w:val="22"/>
          <w:szCs w:val="22"/>
        </w:rPr>
        <w:t>Figur</w:t>
      </w:r>
      <w:r w:rsidR="00B65F1E" w:rsidRPr="003E5206">
        <w:rPr>
          <w:rFonts w:ascii="Arial" w:eastAsia="Arial" w:hAnsi="Arial" w:cs="Arial"/>
          <w:sz w:val="22"/>
          <w:szCs w:val="22"/>
        </w:rPr>
        <w:t>e</w:t>
      </w:r>
      <w:r w:rsidRPr="003E5206">
        <w:rPr>
          <w:rFonts w:ascii="Arial" w:eastAsia="Arial" w:hAnsi="Arial" w:cs="Arial"/>
          <w:sz w:val="22"/>
          <w:szCs w:val="22"/>
        </w:rPr>
        <w:t xml:space="preserve"> 8</w:t>
      </w:r>
      <w:r w:rsidR="00B65F1E" w:rsidRPr="003E5206">
        <w:rPr>
          <w:rFonts w:ascii="Arial" w:eastAsia="Arial" w:hAnsi="Arial" w:cs="Arial"/>
          <w:sz w:val="22"/>
          <w:szCs w:val="22"/>
        </w:rPr>
        <w:t>. Lissamine green staining. Left eye, one week after the PRP administration.</w:t>
      </w:r>
    </w:p>
    <w:p w14:paraId="5F827467" w14:textId="5182A7AB" w:rsidR="009D0D42" w:rsidRPr="003E5206" w:rsidRDefault="009D0D42" w:rsidP="009D0D42">
      <w:pPr>
        <w:jc w:val="center"/>
        <w:rPr>
          <w:rFonts w:ascii="Arial" w:eastAsia="Arial" w:hAnsi="Arial" w:cs="Arial"/>
          <w:sz w:val="22"/>
          <w:szCs w:val="22"/>
        </w:rPr>
      </w:pPr>
    </w:p>
    <w:p w14:paraId="45DF40E5" w14:textId="77777777" w:rsidR="0054676A" w:rsidRPr="003E5206" w:rsidRDefault="0054676A" w:rsidP="009D0D42">
      <w:pPr>
        <w:rPr>
          <w:rFonts w:ascii="Arial" w:eastAsia="Arial" w:hAnsi="Arial" w:cs="Arial"/>
          <w:sz w:val="22"/>
          <w:szCs w:val="22"/>
        </w:rPr>
      </w:pPr>
    </w:p>
    <w:p w14:paraId="03D4589A" w14:textId="16F0C837" w:rsidR="0054676A" w:rsidRPr="003E5206" w:rsidRDefault="0054676A" w:rsidP="0054676A">
      <w:pPr>
        <w:jc w:val="center"/>
        <w:rPr>
          <w:rFonts w:ascii="Arial" w:eastAsia="Arial" w:hAnsi="Arial" w:cs="Arial"/>
          <w:sz w:val="22"/>
          <w:szCs w:val="22"/>
          <w:lang w:val="es-CO"/>
        </w:rPr>
      </w:pPr>
      <w:r w:rsidRPr="003E5206">
        <w:rPr>
          <w:rFonts w:ascii="Arial" w:eastAsia="Arial" w:hAnsi="Arial" w:cs="Arial"/>
          <w:noProof/>
          <w:sz w:val="22"/>
          <w:szCs w:val="22"/>
          <w:lang w:val="es-CO" w:eastAsia="es-CO"/>
        </w:rPr>
        <w:drawing>
          <wp:inline distT="0" distB="0" distL="0" distR="0" wp14:anchorId="2E3DAB84" wp14:editId="555AE26D">
            <wp:extent cx="3785190" cy="2871649"/>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iaz Ovalle, Maritza (P0650281046)_OD (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803242" cy="2885344"/>
                    </a:xfrm>
                    <a:prstGeom prst="rect">
                      <a:avLst/>
                    </a:prstGeom>
                  </pic:spPr>
                </pic:pic>
              </a:graphicData>
            </a:graphic>
          </wp:inline>
        </w:drawing>
      </w:r>
    </w:p>
    <w:p w14:paraId="6E90FDFF" w14:textId="77777777" w:rsidR="00D218CE" w:rsidRDefault="00D218CE" w:rsidP="0054676A">
      <w:pPr>
        <w:jc w:val="center"/>
        <w:rPr>
          <w:rFonts w:ascii="Arial" w:eastAsia="Arial" w:hAnsi="Arial" w:cs="Arial"/>
          <w:sz w:val="22"/>
          <w:szCs w:val="22"/>
        </w:rPr>
      </w:pPr>
    </w:p>
    <w:p w14:paraId="6821654A" w14:textId="3EB7A513" w:rsidR="0054676A" w:rsidRPr="003E5206" w:rsidRDefault="0054676A" w:rsidP="0054676A">
      <w:pPr>
        <w:jc w:val="center"/>
        <w:rPr>
          <w:rFonts w:ascii="Arial" w:eastAsia="Arial" w:hAnsi="Arial" w:cs="Arial"/>
          <w:sz w:val="22"/>
          <w:szCs w:val="22"/>
        </w:rPr>
      </w:pPr>
      <w:r w:rsidRPr="003E5206">
        <w:rPr>
          <w:rFonts w:ascii="Arial" w:eastAsia="Arial" w:hAnsi="Arial" w:cs="Arial"/>
          <w:sz w:val="22"/>
          <w:szCs w:val="22"/>
        </w:rPr>
        <w:t>Figur</w:t>
      </w:r>
      <w:r w:rsidR="00B65F1E" w:rsidRPr="003E5206">
        <w:rPr>
          <w:rFonts w:ascii="Arial" w:eastAsia="Arial" w:hAnsi="Arial" w:cs="Arial"/>
          <w:sz w:val="22"/>
          <w:szCs w:val="22"/>
        </w:rPr>
        <w:t>e</w:t>
      </w:r>
      <w:r w:rsidRPr="003E5206">
        <w:rPr>
          <w:rFonts w:ascii="Arial" w:eastAsia="Arial" w:hAnsi="Arial" w:cs="Arial"/>
          <w:sz w:val="22"/>
          <w:szCs w:val="22"/>
        </w:rPr>
        <w:t xml:space="preserve"> 9. </w:t>
      </w:r>
      <w:r w:rsidR="00B65F1E" w:rsidRPr="003E5206">
        <w:rPr>
          <w:rFonts w:ascii="Arial" w:eastAsia="Arial" w:hAnsi="Arial" w:cs="Arial"/>
          <w:sz w:val="22"/>
          <w:szCs w:val="22"/>
        </w:rPr>
        <w:t>Fluorescein staining with cobalt blue filter. Right eye, one month after the PRP administration.</w:t>
      </w:r>
    </w:p>
    <w:p w14:paraId="383D58DC" w14:textId="2486B0E3" w:rsidR="0054676A" w:rsidRPr="003E5206" w:rsidRDefault="0054676A" w:rsidP="0054676A">
      <w:pPr>
        <w:jc w:val="center"/>
        <w:rPr>
          <w:rFonts w:ascii="Arial" w:eastAsia="Arial" w:hAnsi="Arial" w:cs="Arial"/>
          <w:sz w:val="22"/>
          <w:szCs w:val="22"/>
        </w:rPr>
      </w:pPr>
    </w:p>
    <w:p w14:paraId="5E3CBA72" w14:textId="1BF5941E" w:rsidR="0054676A" w:rsidRPr="003E5206" w:rsidRDefault="0054676A" w:rsidP="0054676A">
      <w:pPr>
        <w:jc w:val="center"/>
        <w:rPr>
          <w:rFonts w:ascii="Arial" w:eastAsia="Arial" w:hAnsi="Arial" w:cs="Arial"/>
          <w:sz w:val="22"/>
          <w:szCs w:val="22"/>
          <w:lang w:val="es-CO"/>
        </w:rPr>
      </w:pPr>
      <w:r w:rsidRPr="003E5206">
        <w:rPr>
          <w:rFonts w:ascii="Arial" w:eastAsia="Arial" w:hAnsi="Arial" w:cs="Arial"/>
          <w:noProof/>
          <w:sz w:val="22"/>
          <w:szCs w:val="22"/>
          <w:lang w:val="es-CO" w:eastAsia="es-CO"/>
        </w:rPr>
        <w:lastRenderedPageBreak/>
        <w:drawing>
          <wp:inline distT="0" distB="0" distL="0" distR="0" wp14:anchorId="3740061D" wp14:editId="1E701F65">
            <wp:extent cx="3572539" cy="2710321"/>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iaz Ovalle, Maritza (P0650281046)_OS (1)DSD.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00101" cy="2731231"/>
                    </a:xfrm>
                    <a:prstGeom prst="rect">
                      <a:avLst/>
                    </a:prstGeom>
                  </pic:spPr>
                </pic:pic>
              </a:graphicData>
            </a:graphic>
          </wp:inline>
        </w:drawing>
      </w:r>
    </w:p>
    <w:p w14:paraId="4B6D2083" w14:textId="77777777" w:rsidR="00D218CE" w:rsidRDefault="00D218CE" w:rsidP="0054676A">
      <w:pPr>
        <w:jc w:val="center"/>
        <w:rPr>
          <w:rFonts w:ascii="Arial" w:eastAsia="Arial" w:hAnsi="Arial" w:cs="Arial"/>
          <w:sz w:val="22"/>
          <w:szCs w:val="22"/>
        </w:rPr>
      </w:pPr>
    </w:p>
    <w:p w14:paraId="76D52D63" w14:textId="71A6E23C" w:rsidR="0054676A" w:rsidRPr="003E5206" w:rsidRDefault="0054676A" w:rsidP="0054676A">
      <w:pPr>
        <w:jc w:val="center"/>
        <w:rPr>
          <w:rFonts w:ascii="Arial" w:eastAsia="Arial" w:hAnsi="Arial" w:cs="Arial"/>
          <w:sz w:val="22"/>
          <w:szCs w:val="22"/>
        </w:rPr>
      </w:pPr>
      <w:r w:rsidRPr="003E5206">
        <w:rPr>
          <w:rFonts w:ascii="Arial" w:eastAsia="Arial" w:hAnsi="Arial" w:cs="Arial"/>
          <w:sz w:val="22"/>
          <w:szCs w:val="22"/>
        </w:rPr>
        <w:t>Figur</w:t>
      </w:r>
      <w:r w:rsidR="00B65F1E" w:rsidRPr="003E5206">
        <w:rPr>
          <w:rFonts w:ascii="Arial" w:eastAsia="Arial" w:hAnsi="Arial" w:cs="Arial"/>
          <w:sz w:val="22"/>
          <w:szCs w:val="22"/>
        </w:rPr>
        <w:t>e</w:t>
      </w:r>
      <w:r w:rsidRPr="003E5206">
        <w:rPr>
          <w:rFonts w:ascii="Arial" w:eastAsia="Arial" w:hAnsi="Arial" w:cs="Arial"/>
          <w:sz w:val="22"/>
          <w:szCs w:val="22"/>
        </w:rPr>
        <w:t xml:space="preserve"> 10. </w:t>
      </w:r>
      <w:r w:rsidR="00B65F1E" w:rsidRPr="003E5206">
        <w:rPr>
          <w:rFonts w:ascii="Arial" w:eastAsia="Arial" w:hAnsi="Arial" w:cs="Arial"/>
          <w:sz w:val="22"/>
          <w:szCs w:val="22"/>
        </w:rPr>
        <w:t>Fluorescein staining with cobalt blue filter. Left eye, one month after the PRP administration.</w:t>
      </w:r>
    </w:p>
    <w:p w14:paraId="03308118" w14:textId="09AEEFAF" w:rsidR="0054676A" w:rsidRPr="003E5206" w:rsidRDefault="0054676A" w:rsidP="0054676A">
      <w:pPr>
        <w:jc w:val="center"/>
        <w:rPr>
          <w:rFonts w:ascii="Arial" w:eastAsia="Arial" w:hAnsi="Arial" w:cs="Arial"/>
          <w:sz w:val="22"/>
          <w:szCs w:val="22"/>
        </w:rPr>
      </w:pPr>
    </w:p>
    <w:p w14:paraId="172DD09D" w14:textId="7BDD1987" w:rsidR="0054676A" w:rsidRPr="003E5206" w:rsidRDefault="0054676A" w:rsidP="0054676A">
      <w:pPr>
        <w:jc w:val="center"/>
        <w:rPr>
          <w:rFonts w:ascii="Arial" w:eastAsia="Arial" w:hAnsi="Arial" w:cs="Arial"/>
          <w:sz w:val="22"/>
          <w:szCs w:val="22"/>
          <w:lang w:val="es-CO"/>
        </w:rPr>
      </w:pPr>
      <w:r w:rsidRPr="003E5206">
        <w:rPr>
          <w:rFonts w:ascii="Arial" w:eastAsia="Arial" w:hAnsi="Arial" w:cs="Arial"/>
          <w:noProof/>
          <w:sz w:val="22"/>
          <w:szCs w:val="22"/>
          <w:lang w:val="es-CO" w:eastAsia="es-CO"/>
        </w:rPr>
        <w:drawing>
          <wp:inline distT="0" distB="0" distL="0" distR="0" wp14:anchorId="6C295869" wp14:editId="352B2DC8">
            <wp:extent cx="3553537" cy="2695904"/>
            <wp:effectExtent l="0" t="0" r="889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iaz Ovalle, Maritza (P0650281046)_OD (2)DDD.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595505" cy="2727743"/>
                    </a:xfrm>
                    <a:prstGeom prst="rect">
                      <a:avLst/>
                    </a:prstGeom>
                  </pic:spPr>
                </pic:pic>
              </a:graphicData>
            </a:graphic>
          </wp:inline>
        </w:drawing>
      </w:r>
    </w:p>
    <w:p w14:paraId="34852B9D" w14:textId="77777777" w:rsidR="00D218CE" w:rsidRDefault="00D218CE" w:rsidP="0054676A">
      <w:pPr>
        <w:jc w:val="center"/>
        <w:rPr>
          <w:rFonts w:ascii="Arial" w:eastAsia="Arial" w:hAnsi="Arial" w:cs="Arial"/>
          <w:sz w:val="22"/>
          <w:szCs w:val="22"/>
        </w:rPr>
      </w:pPr>
    </w:p>
    <w:p w14:paraId="0D0659EC" w14:textId="7D00FFB2" w:rsidR="0054676A" w:rsidRPr="003E5206" w:rsidRDefault="0054676A" w:rsidP="0054676A">
      <w:pPr>
        <w:jc w:val="center"/>
        <w:rPr>
          <w:rFonts w:ascii="Arial" w:eastAsia="Arial" w:hAnsi="Arial" w:cs="Arial"/>
          <w:sz w:val="22"/>
          <w:szCs w:val="22"/>
        </w:rPr>
      </w:pPr>
      <w:r w:rsidRPr="003E5206">
        <w:rPr>
          <w:rFonts w:ascii="Arial" w:eastAsia="Arial" w:hAnsi="Arial" w:cs="Arial"/>
          <w:sz w:val="22"/>
          <w:szCs w:val="22"/>
        </w:rPr>
        <w:t>Figur</w:t>
      </w:r>
      <w:r w:rsidR="0086716F" w:rsidRPr="003E5206">
        <w:rPr>
          <w:rFonts w:ascii="Arial" w:eastAsia="Arial" w:hAnsi="Arial" w:cs="Arial"/>
          <w:sz w:val="22"/>
          <w:szCs w:val="22"/>
        </w:rPr>
        <w:t>e</w:t>
      </w:r>
      <w:r w:rsidRPr="003E5206">
        <w:rPr>
          <w:rFonts w:ascii="Arial" w:eastAsia="Arial" w:hAnsi="Arial" w:cs="Arial"/>
          <w:sz w:val="22"/>
          <w:szCs w:val="22"/>
        </w:rPr>
        <w:t xml:space="preserve"> 11. </w:t>
      </w:r>
      <w:r w:rsidR="00B65F1E" w:rsidRPr="003E5206">
        <w:rPr>
          <w:rFonts w:ascii="Arial" w:eastAsia="Arial" w:hAnsi="Arial" w:cs="Arial"/>
          <w:sz w:val="22"/>
          <w:szCs w:val="22"/>
        </w:rPr>
        <w:t>Lissamine green staining. Right eye, one mont</w:t>
      </w:r>
      <w:r w:rsidR="0086716F" w:rsidRPr="003E5206">
        <w:rPr>
          <w:rFonts w:ascii="Arial" w:eastAsia="Arial" w:hAnsi="Arial" w:cs="Arial"/>
          <w:sz w:val="22"/>
          <w:szCs w:val="22"/>
        </w:rPr>
        <w:t>h</w:t>
      </w:r>
      <w:r w:rsidR="00B65F1E" w:rsidRPr="003E5206">
        <w:rPr>
          <w:rFonts w:ascii="Arial" w:eastAsia="Arial" w:hAnsi="Arial" w:cs="Arial"/>
          <w:sz w:val="22"/>
          <w:szCs w:val="22"/>
        </w:rPr>
        <w:t xml:space="preserve"> after the PRP administration.</w:t>
      </w:r>
    </w:p>
    <w:p w14:paraId="035DDED6" w14:textId="77777777" w:rsidR="00B65F1E" w:rsidRPr="003E5206" w:rsidRDefault="00B65F1E" w:rsidP="0054676A">
      <w:pPr>
        <w:jc w:val="center"/>
        <w:rPr>
          <w:rFonts w:ascii="Arial" w:eastAsia="Arial" w:hAnsi="Arial" w:cs="Arial"/>
          <w:sz w:val="22"/>
          <w:szCs w:val="22"/>
        </w:rPr>
      </w:pPr>
    </w:p>
    <w:p w14:paraId="47001959" w14:textId="6179FFA6" w:rsidR="0054676A" w:rsidRPr="003E5206" w:rsidRDefault="0054676A" w:rsidP="0054676A">
      <w:pPr>
        <w:jc w:val="center"/>
        <w:rPr>
          <w:rFonts w:ascii="Arial" w:eastAsia="Arial" w:hAnsi="Arial" w:cs="Arial"/>
          <w:sz w:val="22"/>
          <w:szCs w:val="22"/>
          <w:lang w:val="es-CO"/>
        </w:rPr>
      </w:pPr>
      <w:r w:rsidRPr="003E5206">
        <w:rPr>
          <w:rFonts w:ascii="Arial" w:eastAsia="Arial" w:hAnsi="Arial" w:cs="Arial"/>
          <w:noProof/>
          <w:sz w:val="22"/>
          <w:szCs w:val="22"/>
          <w:lang w:val="es-CO" w:eastAsia="es-CO"/>
        </w:rPr>
        <w:lastRenderedPageBreak/>
        <w:drawing>
          <wp:inline distT="0" distB="0" distL="0" distR="0" wp14:anchorId="2051671D" wp14:editId="1341F06F">
            <wp:extent cx="3262601" cy="2475186"/>
            <wp:effectExtent l="0" t="0" r="0" b="190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iaz Ovalle, Maritza (P0650281046)_OS (1)GF.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86259" cy="2493134"/>
                    </a:xfrm>
                    <a:prstGeom prst="rect">
                      <a:avLst/>
                    </a:prstGeom>
                  </pic:spPr>
                </pic:pic>
              </a:graphicData>
            </a:graphic>
          </wp:inline>
        </w:drawing>
      </w:r>
    </w:p>
    <w:p w14:paraId="63B17DEE" w14:textId="77777777" w:rsidR="00D218CE" w:rsidRDefault="00D218CE" w:rsidP="0054676A">
      <w:pPr>
        <w:jc w:val="center"/>
        <w:rPr>
          <w:rFonts w:ascii="Arial" w:eastAsia="Arial" w:hAnsi="Arial" w:cs="Arial"/>
          <w:sz w:val="22"/>
          <w:szCs w:val="22"/>
        </w:rPr>
      </w:pPr>
    </w:p>
    <w:p w14:paraId="41DE0F5D" w14:textId="6270301C" w:rsidR="0054676A" w:rsidRPr="003E5206" w:rsidRDefault="0054676A" w:rsidP="0054676A">
      <w:pPr>
        <w:jc w:val="center"/>
        <w:rPr>
          <w:rFonts w:ascii="Arial" w:eastAsia="Arial" w:hAnsi="Arial" w:cs="Arial"/>
          <w:sz w:val="22"/>
          <w:szCs w:val="22"/>
        </w:rPr>
      </w:pPr>
      <w:r w:rsidRPr="003E5206">
        <w:rPr>
          <w:rFonts w:ascii="Arial" w:eastAsia="Arial" w:hAnsi="Arial" w:cs="Arial"/>
          <w:sz w:val="22"/>
          <w:szCs w:val="22"/>
        </w:rPr>
        <w:t>Figur</w:t>
      </w:r>
      <w:r w:rsidR="0086716F" w:rsidRPr="003E5206">
        <w:rPr>
          <w:rFonts w:ascii="Arial" w:eastAsia="Arial" w:hAnsi="Arial" w:cs="Arial"/>
          <w:sz w:val="22"/>
          <w:szCs w:val="22"/>
        </w:rPr>
        <w:t>e</w:t>
      </w:r>
      <w:r w:rsidRPr="003E5206">
        <w:rPr>
          <w:rFonts w:ascii="Arial" w:eastAsia="Arial" w:hAnsi="Arial" w:cs="Arial"/>
          <w:sz w:val="22"/>
          <w:szCs w:val="22"/>
        </w:rPr>
        <w:t xml:space="preserve"> 12. </w:t>
      </w:r>
      <w:r w:rsidR="0086716F" w:rsidRPr="003E5206">
        <w:rPr>
          <w:rFonts w:ascii="Arial" w:eastAsia="Arial" w:hAnsi="Arial" w:cs="Arial"/>
          <w:sz w:val="22"/>
          <w:szCs w:val="22"/>
        </w:rPr>
        <w:t>Lissamine green staining. Left eye, one month after the PRP administration.</w:t>
      </w:r>
    </w:p>
    <w:p w14:paraId="794A2848" w14:textId="77777777" w:rsidR="00D218CE" w:rsidRDefault="00D218CE" w:rsidP="00B24CC6">
      <w:pPr>
        <w:pBdr>
          <w:bottom w:val="single" w:sz="18" w:space="1" w:color="auto"/>
        </w:pBdr>
        <w:jc w:val="both"/>
        <w:rPr>
          <w:rFonts w:ascii="Arial" w:eastAsia="Arial" w:hAnsi="Arial" w:cs="Arial"/>
          <w:b/>
          <w:sz w:val="22"/>
          <w:szCs w:val="22"/>
        </w:rPr>
      </w:pPr>
    </w:p>
    <w:p w14:paraId="4F4E483B" w14:textId="3A9CBD3A" w:rsidR="00B105F9" w:rsidRPr="003E5206" w:rsidRDefault="002C3CBA" w:rsidP="00B24CC6">
      <w:pPr>
        <w:pBdr>
          <w:bottom w:val="single" w:sz="18" w:space="1" w:color="auto"/>
        </w:pBdr>
        <w:jc w:val="both"/>
        <w:rPr>
          <w:rFonts w:ascii="Arial" w:eastAsia="Arial" w:hAnsi="Arial" w:cs="Arial"/>
          <w:b/>
          <w:sz w:val="22"/>
          <w:szCs w:val="22"/>
        </w:rPr>
      </w:pPr>
      <w:r w:rsidRPr="003E5206">
        <w:rPr>
          <w:rFonts w:ascii="Arial" w:eastAsia="Arial" w:hAnsi="Arial" w:cs="Arial"/>
          <w:b/>
          <w:sz w:val="22"/>
          <w:szCs w:val="22"/>
        </w:rPr>
        <w:t>Discus</w:t>
      </w:r>
      <w:r w:rsidR="00702F41" w:rsidRPr="003E5206">
        <w:rPr>
          <w:rFonts w:ascii="Arial" w:eastAsia="Arial" w:hAnsi="Arial" w:cs="Arial"/>
          <w:b/>
          <w:sz w:val="22"/>
          <w:szCs w:val="22"/>
        </w:rPr>
        <w:t>sion</w:t>
      </w:r>
      <w:r w:rsidRPr="003E5206">
        <w:rPr>
          <w:rFonts w:ascii="Arial" w:eastAsia="Arial" w:hAnsi="Arial" w:cs="Arial"/>
          <w:b/>
          <w:sz w:val="22"/>
          <w:szCs w:val="22"/>
        </w:rPr>
        <w:t xml:space="preserve"> </w:t>
      </w:r>
    </w:p>
    <w:p w14:paraId="6366BD4F" w14:textId="77777777" w:rsidR="00705111" w:rsidRPr="003E5206" w:rsidRDefault="00705111" w:rsidP="00B24CC6">
      <w:pPr>
        <w:jc w:val="both"/>
        <w:rPr>
          <w:rFonts w:ascii="Arial" w:hAnsi="Arial" w:cs="Arial"/>
          <w:sz w:val="22"/>
          <w:szCs w:val="22"/>
        </w:rPr>
      </w:pPr>
    </w:p>
    <w:p w14:paraId="28641A50" w14:textId="0DF00CA2" w:rsidR="006F04B2" w:rsidRPr="003E5206" w:rsidRDefault="002C6C72" w:rsidP="00B24CC6">
      <w:pPr>
        <w:jc w:val="both"/>
        <w:rPr>
          <w:rFonts w:ascii="Arial" w:hAnsi="Arial" w:cs="Arial"/>
          <w:sz w:val="22"/>
          <w:szCs w:val="22"/>
        </w:rPr>
      </w:pPr>
      <w:r w:rsidRPr="003E5206">
        <w:rPr>
          <w:rFonts w:ascii="Arial" w:hAnsi="Arial" w:cs="Arial"/>
          <w:sz w:val="22"/>
          <w:szCs w:val="22"/>
        </w:rPr>
        <w:t>Sjögren syndrome (SS) is the main cause of dry eye due to tear-deficient production. Its annual incidence is 6.92 (95% CI: 4.98–8.86) per 100,000 people and a general prevalence of 60.82 (95%). It is approximately 10 times more frequent in women than in men, and characterized by symptoms of dry mouth and dry eye, ocular surface staining, autoantibodies production and focal lymphocyte infiltrate that affects the salivary glands. Distinctive signs of dry eye in sjögren syndrome include increased</w:t>
      </w:r>
      <w:r w:rsidR="006F04B2" w:rsidRPr="003E5206">
        <w:rPr>
          <w:rFonts w:ascii="Arial" w:hAnsi="Arial" w:cs="Arial"/>
          <w:sz w:val="22"/>
          <w:szCs w:val="22"/>
        </w:rPr>
        <w:t xml:space="preserve"> corneal</w:t>
      </w:r>
      <w:r w:rsidRPr="003E5206">
        <w:rPr>
          <w:rFonts w:ascii="Arial" w:hAnsi="Arial" w:cs="Arial"/>
          <w:sz w:val="22"/>
          <w:szCs w:val="22"/>
        </w:rPr>
        <w:t xml:space="preserve"> staining, goblet cells loss, low tears volume and severe inflammation of the ocular surface</w:t>
      </w:r>
      <w:r w:rsidR="00BB6AD9" w:rsidRPr="003E5206">
        <w:rPr>
          <w:rFonts w:ascii="Arial" w:hAnsi="Arial" w:cs="Arial"/>
          <w:sz w:val="22"/>
          <w:szCs w:val="22"/>
        </w:rPr>
        <w:t xml:space="preserve"> </w:t>
      </w:r>
      <w:r w:rsidR="00BB6AD9" w:rsidRPr="003E5206">
        <w:rPr>
          <w:rFonts w:ascii="Arial" w:hAnsi="Arial" w:cs="Arial"/>
          <w:sz w:val="22"/>
          <w:szCs w:val="22"/>
          <w:lang w:val="es-ES"/>
        </w:rPr>
        <w:fldChar w:fldCharType="begin" w:fldLock="1"/>
      </w:r>
      <w:r w:rsidR="0030354C" w:rsidRPr="003E5206">
        <w:rPr>
          <w:rFonts w:ascii="Arial" w:hAnsi="Arial" w:cs="Arial"/>
          <w:sz w:val="22"/>
          <w:szCs w:val="22"/>
        </w:rPr>
        <w:instrText>ADDIN CSL_CITATION {"citationItems":[{"id":"ITEM-1","itemData":{"DOI":"10.1016/j.jtos.2017.05.011","ISSN":"19375913","abstract":"The TFOS DEWS II Pathophysiology Subcommittee reviewed the mechanisms involved in the initiation and perpetuation of dry eye disease. Its central mechanism is evaporative water loss leading to hyperosmolar tissue damage. Research in human disease and in animal models has shown that this, either directly or by inducing inflammation, causes a loss of both epithelial and goblet cells. The consequent decrease in surface wettability leads to early tear film breakup and amplifies hyperosmolarity via a Vicious Circle. Pain in dry eye is caused by tear hyperosmolarity, loss of lubrication, inflammatory mediators and neurosensory factors, while visual symptoms arise from tear and ocular surface irregularity. Increased friction targets damage to the lids and ocular surface, resulting in characteristic punctate epithelial keratitis, superior limbic keratoconjunctivitis, filamentary keratitis, lid parallel conjunctival folds, and lid wiper epitheliopathy. Hybrid dry eye disease, with features of both aqueous deficiency and increased evaporation, is common and efforts should be made to determine the relative contribution of each form to the total picture. To this end, practical methods are needed to measure tear evaporation in the clinic, and similarly, methods are needed to measure osmolarity at the tissue level across the ocular surface, to better determine the severity of dry eye. Areas for future research include the role of genetic mechanisms in non-Sjögren syndrome dry eye, the targeting of the terminal duct in meibomian gland disease and the influence of gaze dynamics and the closed eye state on tear stability and ocular surface inflammation.","author":[{"dropping-particle":"","family":"Bron","given":"Anthony J.","non-dropping-particle":"","parse-names":false,"suffix":""},{"dropping-particle":"","family":"Paiva","given":"Cintia S.","non-dropping-particle":"de","parse-names":false,"suffix":""},{"dropping-particle":"","family":"Chauhan","given":"Sunil K.","non-dropping-particle":"","parse-names":false,"suffix":""},{"dropping-particle":"","family":"Bonini","given":"Stefano","non-dropping-particle":"","parse-names":false,"suffix":""},{"dropping-particle":"","family":"Gabison","given":"Eric E.","non-dropping-particle":"","parse-names":false,"</w:instrText>
      </w:r>
      <w:r w:rsidR="0030354C" w:rsidRPr="003E5206">
        <w:rPr>
          <w:rFonts w:ascii="Arial" w:hAnsi="Arial" w:cs="Arial"/>
          <w:sz w:val="22"/>
          <w:szCs w:val="22"/>
          <w:lang w:val="es-ES"/>
        </w:rPr>
        <w:instrText>suffix":""},{"dropping-particle":"","family":"Jain","given":"Sandeep","non-dropping-particle":"","parse-names":false,"suffix":""},</w:instrText>
      </w:r>
      <w:r w:rsidR="0030354C" w:rsidRPr="003E5206">
        <w:rPr>
          <w:rFonts w:ascii="Arial" w:hAnsi="Arial" w:cs="Arial"/>
          <w:sz w:val="22"/>
          <w:szCs w:val="22"/>
        </w:rPr>
        <w:instrText>{"dropping-particle":"","family":"Knop","given":"Erich","non-dropping-particle":"","parse-names":false,"suffix":""},{"dropping-particle":"","family":"Markoulli","given":"Maria","non-dropping-particle":"","parse-names":false,"suffix":""},{"dropping-particle":"","family":"Ogawa","given":"Yoko","non-dropping-particle":"","parse-names":false,"suffix":""},{"dropping-particle":"","family":"Perez","given":"Victor","non-dropping-particle":"","parse-names":false,"suffix":""},{"dropping-particle":"","family":"Uchino","given":"Yuichi","non-dropping-particle":"","parse-names":false,"suffix":""},{"dropping-particle":"","family":"Yokoi","given":"Norihiko","non-dropping-particle":"","parse-names":false,"suffix":""},{"dropping-particle":"","family":"Zoukhri","given":"Driss","non-dropping-particle":"","parse-names":false,"suffix":""},{"dropping-particle":"","family":"Sullivan","given":"David A.","non-dropping-particle":"","parse-names":false,"suffix":""}],"container-title":"Ocular Surface","id":"ITEM-1","issue":"3","issued":{"date-parts":[["2017","7","1"]]},"page":"438-510","publisher":"Elsevier Inc.","title":"TFOS DEWS II pathophysiology report","type":"article","volume":"15"},"uris":["http://www.mendeley.com/documents/?uuid=8822df62-0fbc-3dce-8ccf-2684d014fe4c"]}],"mendeley":{"formattedCitation":"(2)","plainTextFormattedCitation":"(2)","previouslyFormattedCitation":"(9)"},"properties":{"noteIndex":0},"schema":"https://github.com/citation-style-language/schema/raw/master/csl-citation.json"}</w:instrText>
      </w:r>
      <w:r w:rsidR="00BB6AD9" w:rsidRPr="003E5206">
        <w:rPr>
          <w:rFonts w:ascii="Arial" w:hAnsi="Arial" w:cs="Arial"/>
          <w:sz w:val="22"/>
          <w:szCs w:val="22"/>
          <w:lang w:val="es-ES"/>
        </w:rPr>
        <w:fldChar w:fldCharType="separate"/>
      </w:r>
      <w:r w:rsidR="0030354C" w:rsidRPr="003E5206">
        <w:rPr>
          <w:rFonts w:ascii="Arial" w:hAnsi="Arial" w:cs="Arial"/>
          <w:noProof/>
          <w:sz w:val="22"/>
          <w:szCs w:val="22"/>
        </w:rPr>
        <w:t>(2)</w:t>
      </w:r>
      <w:r w:rsidR="00BB6AD9" w:rsidRPr="003E5206">
        <w:rPr>
          <w:rFonts w:ascii="Arial" w:hAnsi="Arial" w:cs="Arial"/>
          <w:sz w:val="22"/>
          <w:szCs w:val="22"/>
          <w:lang w:val="es-ES"/>
        </w:rPr>
        <w:fldChar w:fldCharType="end"/>
      </w:r>
      <w:r w:rsidR="006F04B2" w:rsidRPr="003E5206">
        <w:rPr>
          <w:rFonts w:ascii="Arial" w:hAnsi="Arial" w:cs="Arial"/>
          <w:sz w:val="22"/>
          <w:szCs w:val="22"/>
        </w:rPr>
        <w:t xml:space="preserve">. </w:t>
      </w:r>
    </w:p>
    <w:p w14:paraId="235241DC" w14:textId="77777777" w:rsidR="006F04B2" w:rsidRPr="003E5206" w:rsidRDefault="006F04B2" w:rsidP="00B24CC6">
      <w:pPr>
        <w:jc w:val="both"/>
        <w:rPr>
          <w:rFonts w:ascii="Arial" w:hAnsi="Arial" w:cs="Arial"/>
          <w:sz w:val="22"/>
          <w:szCs w:val="22"/>
        </w:rPr>
      </w:pPr>
    </w:p>
    <w:p w14:paraId="39E55F20" w14:textId="2A06FF39" w:rsidR="00494EFA" w:rsidRPr="003E5206" w:rsidRDefault="0005631A" w:rsidP="00B24CC6">
      <w:pPr>
        <w:jc w:val="both"/>
        <w:rPr>
          <w:rFonts w:ascii="Arial" w:hAnsi="Arial" w:cs="Arial"/>
          <w:sz w:val="22"/>
          <w:szCs w:val="22"/>
        </w:rPr>
      </w:pPr>
      <w:r w:rsidRPr="003E5206">
        <w:rPr>
          <w:rFonts w:ascii="Arial" w:hAnsi="Arial" w:cs="Arial"/>
          <w:sz w:val="22"/>
          <w:szCs w:val="22"/>
        </w:rPr>
        <w:t xml:space="preserve">There have been proposed </w:t>
      </w:r>
      <w:r w:rsidR="00F57FD7" w:rsidRPr="003E5206">
        <w:rPr>
          <w:rFonts w:ascii="Arial" w:hAnsi="Arial" w:cs="Arial"/>
          <w:sz w:val="22"/>
          <w:szCs w:val="22"/>
        </w:rPr>
        <w:t xml:space="preserve">many </w:t>
      </w:r>
      <w:r w:rsidRPr="003E5206">
        <w:rPr>
          <w:rFonts w:ascii="Arial" w:hAnsi="Arial" w:cs="Arial"/>
          <w:sz w:val="22"/>
          <w:szCs w:val="22"/>
        </w:rPr>
        <w:t>criteria for SS</w:t>
      </w:r>
      <w:r w:rsidR="00F57FD7" w:rsidRPr="003E5206">
        <w:rPr>
          <w:rFonts w:ascii="Arial" w:hAnsi="Arial" w:cs="Arial"/>
          <w:sz w:val="22"/>
          <w:szCs w:val="22"/>
        </w:rPr>
        <w:t xml:space="preserve"> diagnosis</w:t>
      </w:r>
      <w:r w:rsidRPr="003E5206">
        <w:rPr>
          <w:rFonts w:ascii="Arial" w:hAnsi="Arial" w:cs="Arial"/>
          <w:sz w:val="22"/>
          <w:szCs w:val="22"/>
        </w:rPr>
        <w:t>. One of the most commonly used classification criteria is the proposed one by the American-European Consensus Group (AECG), which includes symptoms and signs such as: Schirmer without anesthesia of &lt;= 5 mm / 5 min or ocular surface staining&gt; = 4 according to the van Bijsterveld system. Early diagnosis and management are essential for the optimal management of SS to improve the quality of life and follow patients for verifying the development of systemic complications such as lymphoma. The diagnosis of</w:t>
      </w:r>
      <w:r w:rsidR="006F04B2" w:rsidRPr="003E5206">
        <w:rPr>
          <w:rFonts w:ascii="Arial" w:hAnsi="Arial" w:cs="Arial"/>
          <w:sz w:val="22"/>
          <w:szCs w:val="22"/>
        </w:rPr>
        <w:t xml:space="preserve"> SS </w:t>
      </w:r>
      <w:r w:rsidRPr="003E5206">
        <w:rPr>
          <w:rFonts w:ascii="Arial" w:hAnsi="Arial" w:cs="Arial"/>
          <w:sz w:val="22"/>
          <w:szCs w:val="22"/>
        </w:rPr>
        <w:t>is limited by the sensitivity and specificity of traditional autoantibodies. Antibodies against</w:t>
      </w:r>
      <w:r w:rsidR="006F04B2" w:rsidRPr="003E5206">
        <w:rPr>
          <w:rFonts w:ascii="Arial" w:hAnsi="Arial" w:cs="Arial"/>
          <w:sz w:val="22"/>
          <w:szCs w:val="22"/>
        </w:rPr>
        <w:t xml:space="preserve"> Sjogren A </w:t>
      </w:r>
      <w:r w:rsidRPr="003E5206">
        <w:rPr>
          <w:rFonts w:ascii="Arial" w:hAnsi="Arial" w:cs="Arial"/>
          <w:sz w:val="22"/>
          <w:szCs w:val="22"/>
        </w:rPr>
        <w:t xml:space="preserve">Syndrome </w:t>
      </w:r>
      <w:r w:rsidR="006F04B2" w:rsidRPr="003E5206">
        <w:rPr>
          <w:rFonts w:ascii="Arial" w:hAnsi="Arial" w:cs="Arial"/>
          <w:sz w:val="22"/>
          <w:szCs w:val="22"/>
        </w:rPr>
        <w:t xml:space="preserve">(SSA / Ro) </w:t>
      </w:r>
      <w:r w:rsidRPr="003E5206">
        <w:rPr>
          <w:rFonts w:ascii="Arial" w:hAnsi="Arial" w:cs="Arial"/>
          <w:sz w:val="22"/>
          <w:szCs w:val="22"/>
        </w:rPr>
        <w:t>and</w:t>
      </w:r>
      <w:r w:rsidR="006F04B2" w:rsidRPr="003E5206">
        <w:rPr>
          <w:rFonts w:ascii="Arial" w:hAnsi="Arial" w:cs="Arial"/>
          <w:sz w:val="22"/>
          <w:szCs w:val="22"/>
        </w:rPr>
        <w:t xml:space="preserve"> Sjogren B </w:t>
      </w:r>
      <w:r w:rsidRPr="003E5206">
        <w:rPr>
          <w:rFonts w:ascii="Arial" w:hAnsi="Arial" w:cs="Arial"/>
          <w:sz w:val="22"/>
          <w:szCs w:val="22"/>
        </w:rPr>
        <w:t xml:space="preserve">Syndrome </w:t>
      </w:r>
      <w:r w:rsidR="006F04B2" w:rsidRPr="003E5206">
        <w:rPr>
          <w:rFonts w:ascii="Arial" w:hAnsi="Arial" w:cs="Arial"/>
          <w:sz w:val="22"/>
          <w:szCs w:val="22"/>
        </w:rPr>
        <w:t xml:space="preserve">(SSB / La) </w:t>
      </w:r>
      <w:r w:rsidRPr="003E5206">
        <w:rPr>
          <w:rFonts w:ascii="Arial" w:hAnsi="Arial" w:cs="Arial"/>
          <w:sz w:val="22"/>
          <w:szCs w:val="22"/>
        </w:rPr>
        <w:t>are only found in</w:t>
      </w:r>
      <w:r w:rsidR="006F04B2" w:rsidRPr="003E5206">
        <w:rPr>
          <w:rFonts w:ascii="Arial" w:hAnsi="Arial" w:cs="Arial"/>
          <w:sz w:val="22"/>
          <w:szCs w:val="22"/>
        </w:rPr>
        <w:t xml:space="preserve"> 60% </w:t>
      </w:r>
      <w:r w:rsidRPr="003E5206">
        <w:rPr>
          <w:rFonts w:ascii="Arial" w:hAnsi="Arial" w:cs="Arial"/>
          <w:sz w:val="22"/>
          <w:szCs w:val="22"/>
        </w:rPr>
        <w:t>to</w:t>
      </w:r>
      <w:r w:rsidR="006F04B2" w:rsidRPr="003E5206">
        <w:rPr>
          <w:rFonts w:ascii="Arial" w:hAnsi="Arial" w:cs="Arial"/>
          <w:sz w:val="22"/>
          <w:szCs w:val="22"/>
        </w:rPr>
        <w:t xml:space="preserve"> 70</w:t>
      </w:r>
      <w:r w:rsidRPr="003E5206">
        <w:rPr>
          <w:rFonts w:ascii="Arial" w:hAnsi="Arial" w:cs="Arial"/>
          <w:sz w:val="22"/>
          <w:szCs w:val="22"/>
        </w:rPr>
        <w:t xml:space="preserve"> % of patients with</w:t>
      </w:r>
      <w:r w:rsidR="006F04B2" w:rsidRPr="003E5206">
        <w:rPr>
          <w:rFonts w:ascii="Arial" w:hAnsi="Arial" w:cs="Arial"/>
          <w:sz w:val="22"/>
          <w:szCs w:val="22"/>
        </w:rPr>
        <w:t xml:space="preserve"> SS</w:t>
      </w:r>
      <w:r w:rsidR="00BB6AD9" w:rsidRPr="003E5206">
        <w:rPr>
          <w:rFonts w:ascii="Arial" w:hAnsi="Arial" w:cs="Arial"/>
          <w:sz w:val="22"/>
          <w:szCs w:val="22"/>
        </w:rPr>
        <w:t xml:space="preserve"> </w:t>
      </w:r>
      <w:r w:rsidR="00BB6AD9" w:rsidRPr="003E5206">
        <w:rPr>
          <w:rFonts w:ascii="Arial" w:hAnsi="Arial" w:cs="Arial"/>
          <w:sz w:val="22"/>
          <w:szCs w:val="22"/>
          <w:lang w:val="es-ES"/>
        </w:rPr>
        <w:fldChar w:fldCharType="begin" w:fldLock="1"/>
      </w:r>
      <w:r w:rsidR="0030354C" w:rsidRPr="003E5206">
        <w:rPr>
          <w:rFonts w:ascii="Arial" w:hAnsi="Arial" w:cs="Arial"/>
          <w:sz w:val="22"/>
          <w:szCs w:val="22"/>
        </w:rPr>
        <w:instrText>ADDIN CSL_CITATION {"citationItems":[{"id":"ITEM-1","itemData":{"DOI":"10.1016/j.jtos.2017.05.011","ISSN":"19375913","abstract":"The TFOS DEWS II Pathophysiology Subcommittee reviewed the mechanisms involved in the initiation and perpetuation of dry eye disease. Its central mechanism is evaporative water loss leading to hyperosmolar tissue damage. Research in human disease and in animal models has shown that this, either directly or by inducing inflammation, causes a loss of both epithelial and goblet cells. The consequent decrease in surface wettability leads to early tear film breakup and amplifies hyperosmolarity via a Vicious Circle. Pain in dry eye is caused by tear hyperosmolarity, loss of lubrication, inflammatory mediators and neurosensory factors, while visual symptoms arise from tear and ocular surface irregularity. Increased friction targets damage to the lids and ocular surface, resulting in characteristic punctate epithelial keratitis, superior limbic keratoconjunctivitis, filamentary keratitis, lid parallel conjunctival folds, and lid wiper epitheliopathy. Hybrid dry eye disease, with features of both aqueous deficiency and increased evaporation, is common and efforts should be made to determine the relative contribution of each form to the total picture. To this end, practical methods are needed to measure tear evaporation in the clinic, and similarly, methods are needed to measure osmolarity at the tissue level across the ocular surface, to better determine the severity of dry eye. Areas for future research include the role of genetic mechanisms in non-Sjögren syndrome dry eye, the targeting of the terminal duct in meibomian gland disease and the influence of gaze dynamics and the closed eye state on tear stability and ocular surface inflammation.","author":[{"dropping-particle":"","family":"Bron","given":"Anthony J.","non-dropping-particle":"","parse-names":false,"suffix":""},{"dropping-particle":"","family":"Paiva","given":"Cintia S.","non-dropping-particle":"de","parse-names":false,"suffix":""},{"dropping-particle":"","family":"Chauhan","given":"Sunil K.","non-dropping-particle":"","parse-names":false,"suffix":""},{"dropping-particle":"","family":"Bonini","given":"S</w:instrText>
      </w:r>
      <w:r w:rsidR="0030354C" w:rsidRPr="003E5206">
        <w:rPr>
          <w:rFonts w:ascii="Arial" w:hAnsi="Arial" w:cs="Arial"/>
          <w:sz w:val="22"/>
          <w:szCs w:val="22"/>
          <w:lang w:val="es-ES"/>
        </w:rPr>
        <w:instrText>tefano","non-dropping-particle":"","parse-names":false,"suffix":""},{"dropping-particle":"","family":"Gabison","given":"Eric E.","non-dropping-particle":"","parse-names":false,"suffix":""},{"dropping-particle":"","family":"Jain","given":"Sandeep","non-dropping-particle":"","parse-names":false,"suffix":""},</w:instrText>
      </w:r>
      <w:r w:rsidR="0030354C" w:rsidRPr="003E5206">
        <w:rPr>
          <w:rFonts w:ascii="Arial" w:hAnsi="Arial" w:cs="Arial"/>
          <w:sz w:val="22"/>
          <w:szCs w:val="22"/>
        </w:rPr>
        <w:instrText>{"dropping-particle":"","family":"Knop","given":"Erich","non-dropping-particle":"","parse-names":false,"suffix":""},{"dropping-particle":"","family":"Markoulli","given":"Maria","non-dropping-particle":"","parse-names":false,"suffix":""},{"dropping-particle":"","family":"Ogawa","given":"Yoko","non-dropping-particle":"","parse-names":false,"suffix":""},{"dropping-particle":"","family":"Perez","given":"Victor","non-dropping-particle":"","parse-names":false,"suffix":""},{"dropping-particle":"","family":"Uchino","given":"Yuichi","non-dropping-particle":"","parse-names":false,"suffix":""},{"dropping-particle":"","family":"Yokoi","given":"Norihiko","non-dropping-particle":"","parse-names":false,"suffix":""},{"dropping-particle":"","family":"Zoukhri","given":"Driss","non-dropping-particle":"","parse-names":false,"suffix":""},{"dropping-particle":"","family":"Sullivan","given":"David A.","non-dropping-particle":"","parse-names":false,"suffix":""}],"container-title":"Ocular Surface","id":"ITEM-1","issue":"3","issued":{"date-parts":[["2017","7","1"]]},"page":"438-510","publisher":"Elsevier Inc.","title":"TFOS DEWS II pathophysiology report","type":"article","volume":"15"},"uris":["http://www.mendeley.com/documents/?uuid=8822df62-0fbc-3dce-8ccf-2684d014fe4c"]}],"mendeley":{"formattedCitation":"(2)","plainTextFormattedCitation":"(2)","previouslyFormattedCitation":"(9)"},"properties":{"noteIndex":0},"schema":"https://github.com/citation-style-language/schema/raw/master/csl-citation.json"}</w:instrText>
      </w:r>
      <w:r w:rsidR="00BB6AD9" w:rsidRPr="003E5206">
        <w:rPr>
          <w:rFonts w:ascii="Arial" w:hAnsi="Arial" w:cs="Arial"/>
          <w:sz w:val="22"/>
          <w:szCs w:val="22"/>
          <w:lang w:val="es-ES"/>
        </w:rPr>
        <w:fldChar w:fldCharType="separate"/>
      </w:r>
      <w:r w:rsidR="0030354C" w:rsidRPr="003E5206">
        <w:rPr>
          <w:rFonts w:ascii="Arial" w:hAnsi="Arial" w:cs="Arial"/>
          <w:noProof/>
          <w:sz w:val="22"/>
          <w:szCs w:val="22"/>
        </w:rPr>
        <w:t>(2)</w:t>
      </w:r>
      <w:r w:rsidR="00BB6AD9" w:rsidRPr="003E5206">
        <w:rPr>
          <w:rFonts w:ascii="Arial" w:hAnsi="Arial" w:cs="Arial"/>
          <w:sz w:val="22"/>
          <w:szCs w:val="22"/>
          <w:lang w:val="es-ES"/>
        </w:rPr>
        <w:fldChar w:fldCharType="end"/>
      </w:r>
      <w:r w:rsidR="006F04B2" w:rsidRPr="003E5206">
        <w:rPr>
          <w:rFonts w:ascii="Arial" w:hAnsi="Arial" w:cs="Arial"/>
          <w:sz w:val="22"/>
          <w:szCs w:val="22"/>
        </w:rPr>
        <w:t>.</w:t>
      </w:r>
    </w:p>
    <w:p w14:paraId="1603B11E" w14:textId="77777777" w:rsidR="00E26648" w:rsidRPr="003E5206" w:rsidRDefault="00E26648" w:rsidP="00B24CC6">
      <w:pPr>
        <w:jc w:val="both"/>
        <w:rPr>
          <w:rFonts w:ascii="Arial" w:hAnsi="Arial" w:cs="Arial"/>
          <w:sz w:val="22"/>
          <w:szCs w:val="22"/>
        </w:rPr>
      </w:pPr>
    </w:p>
    <w:p w14:paraId="00000021" w14:textId="713BD743" w:rsidR="0099074E" w:rsidRPr="003E5206" w:rsidRDefault="00304E49" w:rsidP="00B24CC6">
      <w:pPr>
        <w:jc w:val="both"/>
        <w:rPr>
          <w:rFonts w:ascii="Arial" w:eastAsia="Arial" w:hAnsi="Arial" w:cs="Arial"/>
          <w:sz w:val="22"/>
          <w:szCs w:val="22"/>
          <w:highlight w:val="white"/>
        </w:rPr>
      </w:pPr>
      <w:r w:rsidRPr="003E5206">
        <w:rPr>
          <w:rFonts w:ascii="Arial" w:hAnsi="Arial" w:cs="Arial"/>
          <w:sz w:val="22"/>
          <w:szCs w:val="22"/>
        </w:rPr>
        <w:t xml:space="preserve">Patients with mild symptoms are usually treated with topical lubricants, in order to increase the tear meniscus volume and protect the ocular surface by reducing blink friction and modifying the osmolarity, that has been shown to be proinflammatory. Anti-inflammatory therapy is useful in patients with SS and moderate to severe dry eye disease, since these patients show a marked inflammatory </w:t>
      </w:r>
      <w:r w:rsidR="003E5206">
        <w:rPr>
          <w:rFonts w:ascii="Arial" w:hAnsi="Arial" w:cs="Arial"/>
          <w:sz w:val="22"/>
          <w:szCs w:val="22"/>
        </w:rPr>
        <w:t xml:space="preserve">reaction on the ocular surface.  </w:t>
      </w:r>
      <w:r w:rsidRPr="003E5206">
        <w:rPr>
          <w:rFonts w:ascii="Arial" w:hAnsi="Arial" w:cs="Arial"/>
          <w:sz w:val="22"/>
          <w:szCs w:val="22"/>
        </w:rPr>
        <w:t>Corticosteroids have shown improvement in ocular surface symptoms, as well as reduction on fluorescein staining, filamentous keratitis resolution and notable increase in Schirmer test scores (by more than 2 mm, P &lt;0.05) and goblet cells density. However, the possible complications associated with its long-term use mus</w:t>
      </w:r>
      <w:r w:rsidR="003E5206">
        <w:rPr>
          <w:rFonts w:ascii="Arial" w:hAnsi="Arial" w:cs="Arial"/>
          <w:sz w:val="22"/>
          <w:szCs w:val="22"/>
        </w:rPr>
        <w:t xml:space="preserve">t always be taken into account.  </w:t>
      </w:r>
      <w:r w:rsidRPr="003E5206">
        <w:rPr>
          <w:rFonts w:ascii="Arial" w:hAnsi="Arial" w:cs="Arial"/>
          <w:sz w:val="22"/>
          <w:szCs w:val="22"/>
        </w:rPr>
        <w:t xml:space="preserve">Topical cyclosporine has several mechanisms of action that result useful in the dry eye disease management, including the ability to inhibit T lymphocyte activation, apoptosis and calcineurin. It has shown a remarkable decrease in the expression of proinflammatory cytokines and improvement of symptoms, decrease in corneal stippling and increase in the </w:t>
      </w:r>
      <w:r w:rsidRPr="003E5206">
        <w:rPr>
          <w:rFonts w:ascii="Arial" w:hAnsi="Arial" w:cs="Arial"/>
          <w:sz w:val="22"/>
          <w:szCs w:val="22"/>
        </w:rPr>
        <w:lastRenderedPageBreak/>
        <w:t>Schirmer test score. Patients may experience pain and discomfort with its application. Secretagogues, such as oral pilocarpine and cevimeline, act on M3 muscarinic receptors of lacrimal and salivary glands. These medications have not been approved for the treatment of dry eye disease, but several studies exhibit some effectiveness in the treatment of dry eye disease in patients with Sjögren syndrome. Goblet cells also contain muscarinic receptors and oral pilocarpine has been shown to increase the goblet cell density. Finally, there can be used invasive resources such as punctal occlusion</w:t>
      </w:r>
      <w:r w:rsidR="00BB6AD9" w:rsidRPr="003E5206">
        <w:rPr>
          <w:rFonts w:ascii="Arial" w:hAnsi="Arial" w:cs="Arial"/>
          <w:sz w:val="22"/>
          <w:szCs w:val="22"/>
        </w:rPr>
        <w:t xml:space="preserve"> </w:t>
      </w:r>
      <w:r w:rsidR="00BB6AD9" w:rsidRPr="003E5206">
        <w:rPr>
          <w:rFonts w:ascii="Arial" w:eastAsia="Arial" w:hAnsi="Arial" w:cs="Arial"/>
          <w:sz w:val="22"/>
          <w:szCs w:val="22"/>
          <w:highlight w:val="white"/>
          <w:lang w:val="es-CO"/>
        </w:rPr>
        <w:fldChar w:fldCharType="begin" w:fldLock="1"/>
      </w:r>
      <w:r w:rsidR="0030354C" w:rsidRPr="003E5206">
        <w:rPr>
          <w:rFonts w:ascii="Arial" w:eastAsia="Arial" w:hAnsi="Arial" w:cs="Arial"/>
          <w:sz w:val="22"/>
          <w:szCs w:val="22"/>
          <w:highlight w:val="white"/>
        </w:rPr>
        <w:instrText>ADDIN CSL_CITATION {"citationItems":[{"id":"ITEM-1","itemData":{"DOI":"10.1016/j.jtos.2017.05.006","ISSN":"19375913","abstract":"The members of the Management and Therapy Subcommittee undertook an evidence-based review of current dry eye therapies and management options. Management options reviewed in detail included treatments for tear insufficiency and lid abnormalities, as well as anti-inflammatory medications, surgical approaches, dietary modifications, environmental considerations and complementary therapies. Following this extensive review it became clear that many of the treatments available for the management of dry eye disease lack the necessary Level 1 evidence to support their recommendation, often due to a lack of appropriate masking, randomization or controls and in some cases due to issues with selection bias or inadequate sample size. Reflecting on all available evidence, a staged management algorithm was derived that presents a step-wise approach to implementing the various management and therapeutic options according to disease severity. While this exercise indicated that differentiating between aqueous-deficient and evaporative dry eye disease was critical in selecting the most appropriate management strategy, it also highlighted challenges, based on the limited evidence currently available, in predicting relative benefits of specific management options, in managing the two dry eye disease subtypes. Further evidence is required to support the introduction, and continued use, of many of the treatment options currently available to manage dry eye disease, as well as to inform appropriate treatment starting points and understand treatment specificity in relation to dry eye disease subtype.","author":[{"dropping-particle":"","family":"Jones","given":"Lyndon","non-dropping-particle":"","parse-names":false,"suffix":""},{"dropping-particle":"","family":"Downie","given":"Laura E.","non-dropping-particle":"","parse-names":false,"suffix":""},{"dropping-particle":"","family":"Korb","given":"Donald","non-dro</w:instrText>
      </w:r>
      <w:r w:rsidR="0030354C" w:rsidRPr="003E5206">
        <w:rPr>
          <w:rFonts w:ascii="Arial" w:eastAsia="Arial" w:hAnsi="Arial" w:cs="Arial"/>
          <w:sz w:val="22"/>
          <w:szCs w:val="22"/>
          <w:highlight w:val="white"/>
          <w:lang w:val="es-CO"/>
        </w:rPr>
        <w:instrText>pping-particle":"","parse-names":false,"suffix":""},{"dropping-particle":"","family":"Benitez-del-Castillo","given":"Jose M.","non-dropping-particle":"","parse-names":false,"suffix":""},{"dropping-particle":"","family":"Dana","given":"Reza","non-dropping-particle":"","parse-names":false,"suffix":""},{"dropping-particle":"","family":"Deng","given":"Sophie X.","non-dropping-particle":"","parse-names":false,"suffix":""},{"dropping-particle":"","family":"Dong","given":"Pham N.","non-dropping-particle":"","parse-names":false,"suffix":""},{"dropping-particle":"","family":"Geerling","given":"Gerd","non-dropping-particle":"","parse-names":false,"suffix":""},{"dropping-particle</w:instrText>
      </w:r>
      <w:r w:rsidR="0030354C" w:rsidRPr="003E5206">
        <w:rPr>
          <w:rFonts w:ascii="Arial" w:eastAsia="Arial" w:hAnsi="Arial" w:cs="Arial"/>
          <w:sz w:val="22"/>
          <w:szCs w:val="22"/>
          <w:highlight w:val="white"/>
        </w:rPr>
        <w:instrText>":"","family":"Hida","given":"Richard Yudi","non-dropping-particle":"","parse-names":false,"suffix":""},{"dropping-particle":"","family":"Liu","given":"Yang","non-dropping-particle":"","parse-names":false,"suffix":""},{"dropping-particle":"","family":"Seo","given":"Kyoung Yul","non-dropping-particle":"","parse-names":false,"suffix":""},{"dropping-particle":"","family":"Tauber","given":"Joseph","non-dropping-particle":"","parse-names":false,"suffix":""},{"dropping-particle":"","family":"Wakamatsu","given":"Tais H.","non-dropping-particle":"","parse-names":false,"suffix":""},{"dropping-particle":"","family":"Xu","given":"Jianjiang","non-dropping-particle":"","parse-names":false,"suffix":""},{"dropping-particle":"","family":"Wolffsohn","given":"James S.","non-dropping-particle":"","parse-names":false,"suffix":""},{"dropping-particle":"","family":"Craig","given":"Jennifer P.","non-dropping-particle":"","parse-names":false,"suffix":""}],"container-title":"Ocular Surface","id":"ITEM-1","issue":"3","issued":{"date-parts":[["2017","7","1"]]},"page":"575-628","publisher":"Elsevier Inc.","title":"TFOS DEWS II Management and Therapy Report","type":"article","volume":"15"},"uris":["http://www.mendeley.com/documents/?uuid=ca062cd0-a23d-3874-adfc-dd2b2b2b0ef8"]}],"mendeley":{"formattedCitation":"(4)","plainTextFormattedCitation":"(4)","previouslyFormattedCitation":"(3)"},"properties":{"noteIndex":0},"schema":"https://github.com/citation-style-language/schema/raw/master/csl-citation.json"}</w:instrText>
      </w:r>
      <w:r w:rsidR="00BB6AD9" w:rsidRPr="003E5206">
        <w:rPr>
          <w:rFonts w:ascii="Arial" w:eastAsia="Arial" w:hAnsi="Arial" w:cs="Arial"/>
          <w:sz w:val="22"/>
          <w:szCs w:val="22"/>
          <w:highlight w:val="white"/>
          <w:lang w:val="es-CO"/>
        </w:rPr>
        <w:fldChar w:fldCharType="separate"/>
      </w:r>
      <w:r w:rsidR="0030354C" w:rsidRPr="003E5206">
        <w:rPr>
          <w:rFonts w:ascii="Arial" w:eastAsia="Arial" w:hAnsi="Arial" w:cs="Arial"/>
          <w:noProof/>
          <w:sz w:val="22"/>
          <w:szCs w:val="22"/>
          <w:highlight w:val="white"/>
        </w:rPr>
        <w:t>(4)</w:t>
      </w:r>
      <w:r w:rsidR="00BB6AD9" w:rsidRPr="003E5206">
        <w:rPr>
          <w:rFonts w:ascii="Arial" w:eastAsia="Arial" w:hAnsi="Arial" w:cs="Arial"/>
          <w:sz w:val="22"/>
          <w:szCs w:val="22"/>
          <w:highlight w:val="white"/>
          <w:lang w:val="es-CO"/>
        </w:rPr>
        <w:fldChar w:fldCharType="end"/>
      </w:r>
      <w:r w:rsidR="002C3CBA" w:rsidRPr="003E5206">
        <w:rPr>
          <w:rFonts w:ascii="Arial" w:eastAsia="Arial" w:hAnsi="Arial" w:cs="Arial"/>
          <w:sz w:val="22"/>
          <w:szCs w:val="22"/>
          <w:highlight w:val="white"/>
        </w:rPr>
        <w:t>.</w:t>
      </w:r>
    </w:p>
    <w:p w14:paraId="1736AFE9" w14:textId="62036C73" w:rsidR="00494EFA" w:rsidRPr="003E5206" w:rsidRDefault="00494EFA" w:rsidP="00B24CC6">
      <w:pPr>
        <w:jc w:val="both"/>
        <w:rPr>
          <w:rFonts w:ascii="Arial" w:eastAsia="Arial" w:hAnsi="Arial" w:cs="Arial"/>
          <w:sz w:val="22"/>
          <w:szCs w:val="22"/>
          <w:highlight w:val="white"/>
        </w:rPr>
      </w:pPr>
    </w:p>
    <w:p w14:paraId="00000023" w14:textId="2D0726BA" w:rsidR="0099074E" w:rsidRPr="003E5206" w:rsidRDefault="00712C68" w:rsidP="00B24CC6">
      <w:pPr>
        <w:jc w:val="both"/>
        <w:rPr>
          <w:rFonts w:ascii="Arial" w:eastAsia="Arial" w:hAnsi="Arial" w:cs="Arial"/>
          <w:color w:val="000000"/>
          <w:sz w:val="22"/>
          <w:szCs w:val="22"/>
          <w:highlight w:val="white"/>
        </w:rPr>
      </w:pPr>
      <w:r w:rsidRPr="003E5206">
        <w:rPr>
          <w:rFonts w:ascii="Arial" w:eastAsia="Arial" w:hAnsi="Arial" w:cs="Arial"/>
          <w:color w:val="000000"/>
          <w:sz w:val="22"/>
          <w:szCs w:val="22"/>
        </w:rPr>
        <w:t>Blood derivates have been shown to exhibit healing and regenerative cell capacity attributed to the action of growth factors and bioactive proteins that are synthesized and present in the blood. Growth factors and cell adhesion molecules play an important role in wound healing and improve the physiological related process at injury site. Platelet rich plasma provides a higher concentration of essential growth factors and cell adhesion molecules by concentrating platelets in a small plasma volume, compared to autologous serum</w:t>
      </w:r>
      <w:r w:rsidR="00FF0BD9" w:rsidRPr="003E5206">
        <w:rPr>
          <w:rFonts w:ascii="Arial" w:eastAsia="Arial" w:hAnsi="Arial" w:cs="Arial"/>
          <w:color w:val="000000"/>
          <w:sz w:val="22"/>
          <w:szCs w:val="22"/>
        </w:rPr>
        <w:t xml:space="preserve"> </w:t>
      </w:r>
      <w:r w:rsidR="00BF64D3" w:rsidRPr="003E5206">
        <w:rPr>
          <w:rFonts w:ascii="Arial" w:eastAsia="Arial" w:hAnsi="Arial" w:cs="Arial"/>
          <w:color w:val="000000"/>
          <w:sz w:val="22"/>
          <w:szCs w:val="22"/>
          <w:highlight w:val="white"/>
          <w:lang w:val="es-CO"/>
        </w:rPr>
        <w:fldChar w:fldCharType="begin" w:fldLock="1"/>
      </w:r>
      <w:r w:rsidR="0030354C" w:rsidRPr="003E5206">
        <w:rPr>
          <w:rFonts w:ascii="Arial" w:eastAsia="Arial" w:hAnsi="Arial" w:cs="Arial"/>
          <w:color w:val="000000"/>
          <w:sz w:val="22"/>
          <w:szCs w:val="22"/>
          <w:highlight w:val="white"/>
        </w:rPr>
        <w:instrText>ADDIN CSL_CITATION {"citationItems":[{"id":"ITEM-1","itemData":{"DOI":"10.2174/138920112800624355","ISSN":"13892010","abstract":"Blood derived products have demonstrated their capacity to enhance healing and stimulate the regeneration of different tissues and this enhancing effect is attributed to the growth factors and bioactive proteins that are synthesized and present in blood. Eye platelet rich plasma (E-PRP) provides higher concentration of essential growth factors and cell adhesion molecules by concentrating platelets in a small volume of plasma as compared with autologous serum, the latter being used widely in ophthalmology for epithelial wound healing of the cornea for the last two decades. These growth factors and cell adhesion molecules have a major role in wound healing and enhance the physiological process at the site of the injury/surgery via eye drops or clot. E-PRP has been used more recently, and has achieved successful outcomes in peer-review articles in the treatment of dormant ulcers (epithelial defects of the cornea that fail to heal), moderate to severe dry eye syndrome, ocular surface syndrome post Laser In Situ Keratomileusis (LASIK), and for surface reconstruction after corneal perforation associated with amniotic membrane transplantation. Preparation of E-PRP in the two available formulations, eyedrops and clot, is inexpensive and easy although it requires following strict sterility conditions using sterile and disposable materials and operating inside a laminar flow hood. No serious adverse effects have been described with the use of these products, and it is generally well tolerated. In summary, Platelet enriched plasma in the form obtained in ophthalmology, E-PRP, is a reliable and effective therapeutic tool to enhance epithelial wound healing in ocular surface disease.","author":[{"dropping-particle":"","family":"L. Alio","given":"Jorge","non-dropping-particle":"","parse-names":false,"suffix":""},{"dropping-particle":"","family":"Arnalich-Montiel","given":"Francisco","non-dropping-particle":"","parse-names":false,"suffix":""},{"dropping-particle":"","family":"E. Rodriguez","given":"Alejandra","non-dropping-particle":"","parse-names":false,"suffix":""}],"container-title":"Current Pharmaceutical Biotechnology","id":"ITEM-1","issue":"7","issued":{"date-parts":[["2012","6","12"]]},"page":"1257-1265","publisher":"Bentham Science Publishers Ltd.","title":"The Role of “Eye Platelet Rich Plasma” (E-Prp) for Wound Healing in Ophthalmology","type":"article-journal","volume":"13"},"uris":["http://www.mendeley.com/documents/?uuid=44c20f6c-d7b7-32b4-b927-e10bdf272cdd"]}],"mendeley":{"formattedCitation":"(8)","plainTextFormattedCitation":"(8)","previouslyFormattedCitation":"(7)"},"properties":{"noteIndex":0},"schema":"https://github.com/citation-style-language/schema/raw/master/csl-citation.json"}</w:instrText>
      </w:r>
      <w:r w:rsidR="00BF64D3" w:rsidRPr="003E5206">
        <w:rPr>
          <w:rFonts w:ascii="Arial" w:eastAsia="Arial" w:hAnsi="Arial" w:cs="Arial"/>
          <w:color w:val="000000"/>
          <w:sz w:val="22"/>
          <w:szCs w:val="22"/>
          <w:highlight w:val="white"/>
          <w:lang w:val="es-CO"/>
        </w:rPr>
        <w:fldChar w:fldCharType="separate"/>
      </w:r>
      <w:r w:rsidR="0030354C" w:rsidRPr="003E5206">
        <w:rPr>
          <w:rFonts w:ascii="Arial" w:eastAsia="Arial" w:hAnsi="Arial" w:cs="Arial"/>
          <w:noProof/>
          <w:color w:val="000000"/>
          <w:sz w:val="22"/>
          <w:szCs w:val="22"/>
          <w:highlight w:val="white"/>
        </w:rPr>
        <w:t>(8)</w:t>
      </w:r>
      <w:r w:rsidR="00BF64D3" w:rsidRPr="003E5206">
        <w:rPr>
          <w:rFonts w:ascii="Arial" w:eastAsia="Arial" w:hAnsi="Arial" w:cs="Arial"/>
          <w:color w:val="000000"/>
          <w:sz w:val="22"/>
          <w:szCs w:val="22"/>
          <w:highlight w:val="white"/>
          <w:lang w:val="es-CO"/>
        </w:rPr>
        <w:fldChar w:fldCharType="end"/>
      </w:r>
      <w:r w:rsidR="002C3CBA" w:rsidRPr="003E5206">
        <w:rPr>
          <w:rFonts w:ascii="Arial" w:eastAsia="Arial" w:hAnsi="Arial" w:cs="Arial"/>
          <w:color w:val="000000"/>
          <w:sz w:val="22"/>
          <w:szCs w:val="22"/>
          <w:highlight w:val="white"/>
        </w:rPr>
        <w:t>.</w:t>
      </w:r>
    </w:p>
    <w:p w14:paraId="4A2643A7" w14:textId="38FE42BF" w:rsidR="00C3092F" w:rsidRPr="003E5206" w:rsidRDefault="00C3092F" w:rsidP="00B24CC6">
      <w:pPr>
        <w:jc w:val="both"/>
        <w:rPr>
          <w:rFonts w:ascii="Arial" w:eastAsia="Arial" w:hAnsi="Arial" w:cs="Arial"/>
          <w:color w:val="000000"/>
          <w:sz w:val="22"/>
          <w:szCs w:val="22"/>
          <w:highlight w:val="white"/>
        </w:rPr>
      </w:pPr>
    </w:p>
    <w:p w14:paraId="43A5D452" w14:textId="05EBA79A" w:rsidR="0046775E" w:rsidRPr="003E5206" w:rsidRDefault="00BB0F38" w:rsidP="0046775E">
      <w:pPr>
        <w:jc w:val="both"/>
        <w:rPr>
          <w:rFonts w:ascii="Arial" w:eastAsia="Arial" w:hAnsi="Arial" w:cs="Arial"/>
          <w:color w:val="000000"/>
          <w:sz w:val="22"/>
          <w:szCs w:val="22"/>
          <w:highlight w:val="white"/>
        </w:rPr>
      </w:pPr>
      <w:r w:rsidRPr="003E5206">
        <w:rPr>
          <w:rFonts w:ascii="Arial" w:eastAsia="Arial" w:hAnsi="Arial" w:cs="Arial"/>
          <w:color w:val="000000"/>
          <w:sz w:val="22"/>
          <w:szCs w:val="22"/>
        </w:rPr>
        <w:t>There are few studies that report the use of PRP as an alternative treatment resource for the treatment of dry eye disease. In 2007 Alio et al evaluated 18 symptomatic patients who used this treatment for one month and realized that dry eye symptoms improved in 89% of patients. In 2017 the same author reported a prospective, non-randomized interventional study of 368 patients, where patients with moderate to severe dry eye disease were included. The results showed significant improvement of the Schirmer test and subjective symptoms in 87.5% of the cases. The OSDI scores were statistically significant, 28.8% experienced an increase of one or more lines of vision, the decrease in the corneal staining was observed in 76.1% of patients, and only one patient reported intolerance to the use of PRP due to discomfort at the time of instillation</w:t>
      </w:r>
      <w:r w:rsidR="0046775E" w:rsidRPr="003E5206">
        <w:rPr>
          <w:rFonts w:ascii="Arial" w:eastAsia="Arial" w:hAnsi="Arial" w:cs="Arial"/>
          <w:color w:val="000000"/>
          <w:sz w:val="22"/>
          <w:szCs w:val="22"/>
          <w:highlight w:val="white"/>
        </w:rPr>
        <w:t xml:space="preserve"> </w:t>
      </w:r>
      <w:r w:rsidR="0046775E" w:rsidRPr="003E5206">
        <w:rPr>
          <w:rFonts w:ascii="Arial" w:eastAsia="Arial" w:hAnsi="Arial" w:cs="Arial"/>
          <w:color w:val="000000"/>
          <w:sz w:val="22"/>
          <w:szCs w:val="22"/>
          <w:highlight w:val="white"/>
          <w:lang w:val="es-CO"/>
        </w:rPr>
        <w:fldChar w:fldCharType="begin" w:fldLock="1"/>
      </w:r>
      <w:r w:rsidR="0046775E" w:rsidRPr="003E5206">
        <w:rPr>
          <w:rFonts w:ascii="Arial" w:eastAsia="Arial" w:hAnsi="Arial" w:cs="Arial"/>
          <w:color w:val="000000"/>
          <w:sz w:val="22"/>
          <w:szCs w:val="22"/>
          <w:highlight w:val="white"/>
        </w:rPr>
        <w:instrText>ADDIN CSL_CITATION {"citationItems":[{"id":"ITEM-1","itemData":{"DOI":"10.1159/000100933","ISSN":"00303747","abstract":"Background: Autologous platelet-rich plasma (PRP) has been proven to be very effective on tissue regeneration and wound healing. Here we investigate the potential use of PRP in the treatment of symptomatic dry eye. Methods: Eighteen consecutive patients with symptomatic dry eye were treated with topical PRP and followed up for 1 month. Disappearance of subjective symptoms, increase in best corrected visual acuity, tear meniscus, tear breakup time, decrease in inflammation, fluorescein staining and improvement in impression cytology were measured. Results: Symptoms improved significantly in 89% of the patients, 28% improved at least 1 line of best corrected visual acuity. A significant improvement on lachrymal meniscus and conjunctival hyperemia and a decrease or disappearance of corneal fluorescein staining were observed. Impression cytology revealed a significant increase in conjunctival goblet cells. Conclusion: Treatment of patients suffering from significant dry eye symptoms with autologous RPR proved to be very effective, improving both patient symptoms and major clinical signs. Copyright © 2007 S. Karger AG.","author":[{"dropping-particle":"","family":"Alio","given":"Jorge L.","non-dropping-particle":"","parse-names":false,"suffix":""},{"dropping-particle":"","family":"Colecha","given":"José R.","non-dropping-particle":"","parse-names":false,"suffix":""},{"dropping-particle":"","family":"Pastor","given":"Silvia","non-dropping-particle":"","parse-names":false,"suffix":""},{"dropping-particle":"","family":"Rodriguez","given":"Alejandra","non-dropping-particle":"","parse-names":false,"suffix":""},{"dropping-particle":"","family":"Artola","given":"Alberto","non-dropping-particle":"","parse-names":false,"suffix":""}],"container-title":"Ophthalmic Research","id":"ITEM-1","issue":"3","issued":{"date-parts":[["2007","6"]]},"page":"124-129","title":"Symptomatic dry eye treatment with autologous platelet-rich plasma","type":"article-journal","volume":"39"},"uris":["http://www.mendeley.com/documents/?uuid=250d88d1-8b0a-38f2-9678-33ba676cf533"]}],"mendeley":{"formattedCitation":"(5)","plainTextFormattedCitation":"(5)","previouslyFormattedCitation":"(4)"},"properties":{"noteIndex":0},"schema":"https://github.com/citation-style-language/schema/raw/master/csl-citation.json"}</w:instrText>
      </w:r>
      <w:r w:rsidR="0046775E" w:rsidRPr="003E5206">
        <w:rPr>
          <w:rFonts w:ascii="Arial" w:eastAsia="Arial" w:hAnsi="Arial" w:cs="Arial"/>
          <w:color w:val="000000"/>
          <w:sz w:val="22"/>
          <w:szCs w:val="22"/>
          <w:highlight w:val="white"/>
          <w:lang w:val="es-CO"/>
        </w:rPr>
        <w:fldChar w:fldCharType="separate"/>
      </w:r>
      <w:r w:rsidR="0046775E" w:rsidRPr="003E5206">
        <w:rPr>
          <w:rFonts w:ascii="Arial" w:eastAsia="Arial" w:hAnsi="Arial" w:cs="Arial"/>
          <w:noProof/>
          <w:color w:val="000000"/>
          <w:sz w:val="22"/>
          <w:szCs w:val="22"/>
          <w:highlight w:val="white"/>
        </w:rPr>
        <w:t>(5)</w:t>
      </w:r>
      <w:r w:rsidR="0046775E" w:rsidRPr="003E5206">
        <w:rPr>
          <w:rFonts w:ascii="Arial" w:eastAsia="Arial" w:hAnsi="Arial" w:cs="Arial"/>
          <w:color w:val="000000"/>
          <w:sz w:val="22"/>
          <w:szCs w:val="22"/>
          <w:highlight w:val="white"/>
          <w:lang w:val="es-CO"/>
        </w:rPr>
        <w:fldChar w:fldCharType="end"/>
      </w:r>
      <w:r w:rsidR="0046775E" w:rsidRPr="003E5206">
        <w:rPr>
          <w:rFonts w:ascii="Arial" w:eastAsia="Arial" w:hAnsi="Arial" w:cs="Arial"/>
          <w:color w:val="000000"/>
          <w:sz w:val="22"/>
          <w:szCs w:val="22"/>
          <w:highlight w:val="white"/>
        </w:rPr>
        <w:t>.</w:t>
      </w:r>
    </w:p>
    <w:p w14:paraId="6906E067" w14:textId="77777777" w:rsidR="0046775E" w:rsidRPr="003E5206" w:rsidRDefault="0046775E" w:rsidP="00B24CC6">
      <w:pPr>
        <w:jc w:val="both"/>
        <w:rPr>
          <w:rFonts w:ascii="Arial" w:eastAsia="Arial" w:hAnsi="Arial" w:cs="Arial"/>
          <w:color w:val="000000"/>
          <w:sz w:val="22"/>
          <w:szCs w:val="22"/>
          <w:highlight w:val="white"/>
        </w:rPr>
      </w:pPr>
    </w:p>
    <w:p w14:paraId="68BD6741" w14:textId="61F75C0F" w:rsidR="00C3092F" w:rsidRPr="003E5206" w:rsidRDefault="00DB5145" w:rsidP="00B24CC6">
      <w:pPr>
        <w:jc w:val="both"/>
        <w:rPr>
          <w:rFonts w:ascii="Arial" w:eastAsia="Arial" w:hAnsi="Arial" w:cs="Arial"/>
          <w:color w:val="000000"/>
          <w:sz w:val="22"/>
          <w:szCs w:val="22"/>
        </w:rPr>
      </w:pPr>
      <w:r w:rsidRPr="003E5206">
        <w:rPr>
          <w:rFonts w:ascii="Arial" w:eastAsia="Arial" w:hAnsi="Arial" w:cs="Arial"/>
          <w:color w:val="000000"/>
          <w:sz w:val="22"/>
          <w:szCs w:val="22"/>
        </w:rPr>
        <w:t xml:space="preserve">The autologous PRP is a biological product without preservatives, obtained from the patient's own blood and, due to the presence of platelets and many active biological agents, it is an ideal resource to take into account in the integral management of dry eye disease. PRP </w:t>
      </w:r>
      <w:r w:rsidR="00C3092F" w:rsidRPr="003E5206">
        <w:rPr>
          <w:rFonts w:ascii="Arial" w:eastAsia="Arial" w:hAnsi="Arial" w:cs="Arial"/>
          <w:color w:val="000000"/>
          <w:sz w:val="22"/>
          <w:szCs w:val="22"/>
        </w:rPr>
        <w:t xml:space="preserve">plasma </w:t>
      </w:r>
      <w:r w:rsidRPr="003E5206">
        <w:rPr>
          <w:rFonts w:ascii="Arial" w:eastAsia="Arial" w:hAnsi="Arial" w:cs="Arial"/>
          <w:color w:val="000000"/>
          <w:sz w:val="22"/>
          <w:szCs w:val="22"/>
        </w:rPr>
        <w:t>preparation can be presented in the two available formulations, topical ophthalmic solution and in clot</w:t>
      </w:r>
      <w:r w:rsidR="00C3092F" w:rsidRPr="003E5206">
        <w:rPr>
          <w:rFonts w:ascii="Arial" w:eastAsia="Arial" w:hAnsi="Arial" w:cs="Arial"/>
          <w:color w:val="000000"/>
          <w:sz w:val="22"/>
          <w:szCs w:val="22"/>
        </w:rPr>
        <w:t xml:space="preserve"> </w:t>
      </w:r>
      <w:r w:rsidR="00C3092F" w:rsidRPr="003E5206">
        <w:rPr>
          <w:rFonts w:ascii="Arial" w:eastAsia="Arial" w:hAnsi="Arial" w:cs="Arial"/>
          <w:color w:val="000000"/>
          <w:sz w:val="22"/>
          <w:szCs w:val="22"/>
          <w:highlight w:val="white"/>
          <w:lang w:val="es-CO"/>
        </w:rPr>
        <w:fldChar w:fldCharType="begin" w:fldLock="1"/>
      </w:r>
      <w:r w:rsidR="00C3092F" w:rsidRPr="003E5206">
        <w:rPr>
          <w:rFonts w:ascii="Arial" w:eastAsia="Arial" w:hAnsi="Arial" w:cs="Arial"/>
          <w:color w:val="000000"/>
          <w:sz w:val="22"/>
          <w:szCs w:val="22"/>
          <w:highlight w:val="white"/>
        </w:rPr>
        <w:instrText>ADDIN CSL_CITATION {"citationItems":[{"id":"ITEM-1","itemData":{"DOI":"10.1007/s40123-017-0100-z","ISSN":"21936528","abstract":"© 2017, The Author(s). Introduction: The objective of this study was to evaluate the use of autologous platelet-rich plasma (PRP) eye drops as monotherapy for the treatment of moderate to severe cases of dry eye disease. Methods: Three hundred and sixty-eight patients with moderate to severe dry eye disease (DED) were included in this prospective case series. Subjects were classified as evaporative DED (EDED) or aqueous deficient DED (ADDED). Improvement of the DED subjective symptoms, corneal fluorescein staining (CFS), and corrected distance visual acuity (BCVA) were evaluated. We also analysed how many rounds of PRP therapy were used. Results: Two hundred and ninety-seven (80.7%) patients were women, and 71 (19.3%) were men. Two hundred and thirty-two (63%) patients had EDED, while 136 (37%) had ADDED. After 6 weeks of monotherapy treatment with autologous PRP, dry eye symptoms improved in 322 (87.5%) cases. A decrease of CFS was observed in 280 (76.1%) patients. One hundred and six (28.8%) patients improved at least 1 line of BCVA. The scores in the ocular Surface Disease Index and the Oxford scale of corneal fluorescein staining decreased statistically after the treatment (p &lt; 0.05). Conclusion: The topical use of autologous platelet-rich plasma as monotherapy is an effective treatment to improve signs and symptoms in patients suffering from moderate to severe chronic DED.","author":[{"dropping-particle":"","family":"Alio","given":"Jorge L.","non-dropping-particle":"","parse-names":false,"suffix":""},{"dropping-particle":"","family":"Rodriguez","given":"Alejandra E.","non-dropping-particle":"","parse-names":false,"suffix":""},{"dropping-particle":"","family":"Ferreira-Oliveira","given":"Renan","non-dropping-particle":"","parse-names":false,"suffix":""},{"dropping-particle":"","family":"Wróbel-Dudzińska","given":"Dominika","non-dropping-particle":"","parse-names":false,"suffix":""},{"dropping-particle":"","family":"Abdelghany","given":"Ahmed A.","non-dropping-particle":"","parse-names":false,"suffix":""}],"container-title":"Ophthalmology and Therapy","id":"ITEM-1","issue":"2","issued":{"date-parts":[["2017","12","1"]]},"page":"285-293","publisher":"Springer Healthcare","title":"Treatment of Dry Eye Disease with Autologous Platelet-Rich Plasma: A Prospective, Interventional, Non-Randomized Study","type":"article-journal","volume":"6"},"uris":["http://www.mendeley.com/documents/?uuid=8482b244-5166-35c6-b2cb-4f7ec82e9a18"]}],"mendeley":{"formattedCitation":"(10)","plainTextFormattedCitation":"(10)","previouslyFormattedCitation":"(10)"},"properties":{"noteIndex":0},"schema":"https://github.com/citation-style-language/schema/raw/master/csl-citation.json"}</w:instrText>
      </w:r>
      <w:r w:rsidR="00C3092F" w:rsidRPr="003E5206">
        <w:rPr>
          <w:rFonts w:ascii="Arial" w:eastAsia="Arial" w:hAnsi="Arial" w:cs="Arial"/>
          <w:color w:val="000000"/>
          <w:sz w:val="22"/>
          <w:szCs w:val="22"/>
          <w:highlight w:val="white"/>
          <w:lang w:val="es-CO"/>
        </w:rPr>
        <w:fldChar w:fldCharType="separate"/>
      </w:r>
      <w:r w:rsidR="00C3092F" w:rsidRPr="003E5206">
        <w:rPr>
          <w:rFonts w:ascii="Arial" w:eastAsia="Arial" w:hAnsi="Arial" w:cs="Arial"/>
          <w:noProof/>
          <w:color w:val="000000"/>
          <w:sz w:val="22"/>
          <w:szCs w:val="22"/>
          <w:highlight w:val="white"/>
        </w:rPr>
        <w:t>(10)</w:t>
      </w:r>
      <w:r w:rsidR="00C3092F" w:rsidRPr="003E5206">
        <w:rPr>
          <w:rFonts w:ascii="Arial" w:eastAsia="Arial" w:hAnsi="Arial" w:cs="Arial"/>
          <w:color w:val="000000"/>
          <w:sz w:val="22"/>
          <w:szCs w:val="22"/>
          <w:highlight w:val="white"/>
          <w:lang w:val="es-CO"/>
        </w:rPr>
        <w:fldChar w:fldCharType="end"/>
      </w:r>
      <w:r w:rsidR="00C3092F" w:rsidRPr="003E5206">
        <w:rPr>
          <w:rFonts w:ascii="Arial" w:eastAsia="Arial" w:hAnsi="Arial" w:cs="Arial"/>
          <w:color w:val="000000"/>
          <w:sz w:val="22"/>
          <w:szCs w:val="22"/>
          <w:highlight w:val="white"/>
        </w:rPr>
        <w:t xml:space="preserve">, </w:t>
      </w:r>
      <w:r w:rsidR="001C1A47" w:rsidRPr="003E5206">
        <w:rPr>
          <w:rFonts w:ascii="Arial" w:eastAsia="Arial" w:hAnsi="Arial" w:cs="Arial"/>
          <w:color w:val="000000"/>
          <w:sz w:val="22"/>
          <w:szCs w:val="22"/>
        </w:rPr>
        <w:t>it is economical in certain countries with easy access, requires strict sterility conditions and is carried out within a laminar flow hood. No serious adverse effects have been described. Considering that the form of eye drops needs a frequent application and shows lower efficacy after prolonged treatment with poor adherence, as well as difficult access to preparation in our country, we propose subconjunctival PRP injection in order to overcome these significant obstacles and stimulate the well-being of the ocular surface.</w:t>
      </w:r>
    </w:p>
    <w:p w14:paraId="2629CAD6" w14:textId="77777777" w:rsidR="001C1A47" w:rsidRPr="003E5206" w:rsidRDefault="001C1A47" w:rsidP="00B24CC6">
      <w:pPr>
        <w:jc w:val="both"/>
        <w:rPr>
          <w:rFonts w:ascii="Arial" w:eastAsia="Arial" w:hAnsi="Arial" w:cs="Arial"/>
          <w:color w:val="000000"/>
          <w:sz w:val="22"/>
          <w:szCs w:val="22"/>
          <w:highlight w:val="white"/>
        </w:rPr>
      </w:pPr>
    </w:p>
    <w:p w14:paraId="0000002A" w14:textId="5AEFCB9F" w:rsidR="0099074E" w:rsidRPr="003E5206" w:rsidRDefault="00716594" w:rsidP="00B24CC6">
      <w:pPr>
        <w:jc w:val="both"/>
        <w:rPr>
          <w:rFonts w:ascii="Arial" w:eastAsia="Arial" w:hAnsi="Arial" w:cs="Arial"/>
          <w:color w:val="000000"/>
          <w:sz w:val="22"/>
          <w:szCs w:val="22"/>
        </w:rPr>
      </w:pPr>
      <w:r w:rsidRPr="003E5206">
        <w:rPr>
          <w:rFonts w:ascii="Arial" w:eastAsia="Arial" w:hAnsi="Arial" w:cs="Arial"/>
          <w:color w:val="000000"/>
          <w:sz w:val="22"/>
          <w:szCs w:val="22"/>
        </w:rPr>
        <w:t xml:space="preserve">To date, the only alternative administration method for the investigated PRP had been the direct injection in the lacrimal glands, achieving excellent results in the study conducted by Ávila, et al </w:t>
      </w:r>
      <w:r w:rsidR="00700929" w:rsidRPr="003E5206">
        <w:rPr>
          <w:rFonts w:ascii="Arial" w:eastAsia="Arial" w:hAnsi="Arial" w:cs="Arial"/>
          <w:color w:val="000000"/>
          <w:sz w:val="22"/>
          <w:szCs w:val="22"/>
          <w:highlight w:val="white"/>
          <w:lang w:val="es-CO"/>
        </w:rPr>
        <w:fldChar w:fldCharType="begin" w:fldLock="1"/>
      </w:r>
      <w:r w:rsidR="0030354C" w:rsidRPr="003E5206">
        <w:rPr>
          <w:rFonts w:ascii="Arial" w:eastAsia="Arial" w:hAnsi="Arial" w:cs="Arial"/>
          <w:color w:val="000000"/>
          <w:sz w:val="22"/>
          <w:szCs w:val="22"/>
          <w:highlight w:val="white"/>
        </w:rPr>
        <w:instrText>ADDIN CSL_CITATION {"citationItems":[{"id":"ITEM-1","itemData":{"DOI":"10.1136/bjophthalmol-2018-312072","ISSN":"14682079","abstract":"BACKGROUND To evaluate the effectiveness of platelet-rich plasma (PRP) injections in the treatment of severe dry eye. METHODS This prospective, intervention study included patients with severe dry eye who had been diagnosed with Sjogren syndrome. Patients were divided into two groups. The intervention group received PRP (n=15) injections on days 0, 30, 60 and 90, as well as hyaluronic acid five times per day. The comparison group received hyaluronic acid (n=15) five times per day. Subjects were measured at baseline and at 30, 60 and 90 days. The primary outcome measures were changes in corneal staining according to the Oxford classification, results of the Schirmer test and tear break-up time (TBUT). The secondary outcome measures were changes in the Ocular Surface Disease Index (OSDI) and treatment compliance. RESULTS All subjects completed the study. The intervention group showed improvements in all primary outcome measures when compared with the control group, including a reduction in corneal staining (p&lt;0.001), increase in the mean Schirmer value from 5.6±0.7 to 9.0±1.1 mm, and an increase in TBUT from 4.0±0.4 to 6.4±0.4 s at day 90. An improvement in subjective OSDI values was also found. CONCLUSION PRP injection is safe and effective in improving tear parameters as well as subjective parameters, and was found to be superior to hyaluronic acid alone in the management of patients with severe dry eye. This represent a novel alternative treatment for severe dry eye. TRIAL REGISTRATION NUMBER NCT02257957.","author":[{"dropping-particle":"","family":"Avila","given":"Marcel Y.","non-dropping-particle":"","parse-names":false,"suffix":""},{"dropping-particle":"","family":"Igua","given":"Angela M.","non-dropping-particle":"","parse-names":false,"suffix":""},{"dropping-particle":"","family":"Mora","given":"Amparo M.","non-dropping-particle":"","parse-names":false,"suffix":""}],"container-title":"British Journal of Ophthalmology","id":"ITEM-1","issue":"5","issued":{"date-parts":[["2019","5","1"]]},"page":"648-653","publisher":"BMJ Publishing Group","title":"Randomised, prospective clinical trial of platelet-rich plasma injection in the management of severe dry eye","type":"article-journal","volume":"103"},"uris":["http://www.mendeley.com/documents/?uuid=741b9cd6-8d6a-3d7e-ad79-cdd40382ea3b"]}],"mendeley":{"formattedCitation":"(9)","plainTextFormattedCitation":"(9)","previouslyFormattedCitation":"(8)"},"properties":{"noteIndex":0},"schema":"https://github.com/citation-style-language/schema/raw/master/csl-citation.json"}</w:instrText>
      </w:r>
      <w:r w:rsidR="00700929" w:rsidRPr="003E5206">
        <w:rPr>
          <w:rFonts w:ascii="Arial" w:eastAsia="Arial" w:hAnsi="Arial" w:cs="Arial"/>
          <w:color w:val="000000"/>
          <w:sz w:val="22"/>
          <w:szCs w:val="22"/>
          <w:highlight w:val="white"/>
          <w:lang w:val="es-CO"/>
        </w:rPr>
        <w:fldChar w:fldCharType="separate"/>
      </w:r>
      <w:r w:rsidR="0030354C" w:rsidRPr="003E5206">
        <w:rPr>
          <w:rFonts w:ascii="Arial" w:eastAsia="Arial" w:hAnsi="Arial" w:cs="Arial"/>
          <w:noProof/>
          <w:color w:val="000000"/>
          <w:sz w:val="22"/>
          <w:szCs w:val="22"/>
          <w:highlight w:val="white"/>
        </w:rPr>
        <w:t>(9)</w:t>
      </w:r>
      <w:r w:rsidR="00700929" w:rsidRPr="003E5206">
        <w:rPr>
          <w:rFonts w:ascii="Arial" w:eastAsia="Arial" w:hAnsi="Arial" w:cs="Arial"/>
          <w:color w:val="000000"/>
          <w:sz w:val="22"/>
          <w:szCs w:val="22"/>
          <w:highlight w:val="white"/>
          <w:lang w:val="es-CO"/>
        </w:rPr>
        <w:fldChar w:fldCharType="end"/>
      </w:r>
      <w:r w:rsidR="00700929" w:rsidRPr="003E5206">
        <w:rPr>
          <w:rFonts w:ascii="Arial" w:eastAsia="Arial" w:hAnsi="Arial" w:cs="Arial"/>
          <w:color w:val="000000"/>
          <w:sz w:val="22"/>
          <w:szCs w:val="22"/>
          <w:highlight w:val="white"/>
        </w:rPr>
        <w:t xml:space="preserve">. </w:t>
      </w:r>
      <w:r w:rsidR="003E5206">
        <w:rPr>
          <w:rFonts w:ascii="Arial" w:eastAsia="Arial" w:hAnsi="Arial" w:cs="Arial"/>
          <w:color w:val="000000"/>
          <w:sz w:val="22"/>
          <w:szCs w:val="22"/>
        </w:rPr>
        <w:t xml:space="preserve">  </w:t>
      </w:r>
      <w:r w:rsidR="00FA258E" w:rsidRPr="003E5206">
        <w:rPr>
          <w:rFonts w:ascii="Arial" w:eastAsia="Arial" w:hAnsi="Arial" w:cs="Arial"/>
          <w:color w:val="000000"/>
          <w:sz w:val="22"/>
          <w:szCs w:val="22"/>
        </w:rPr>
        <w:t>The subconjunctival injection used in the present exposed clinical case is a novel therapeutic alternative which has never been tried before and has as advantages a simpler administration method for the PRP in monotherapy, and as evidenced previously, the achievement of very good results in a patient with severe dry eye disease with poor response to conventional treatment and who had many important risk factors that worsened her condition, including the history of refractive surgery, and the presentation of sjögren syndrome and rheumatoid arthritis as the main comorbidities.</w:t>
      </w:r>
    </w:p>
    <w:p w14:paraId="52943133" w14:textId="77777777" w:rsidR="00153AB6" w:rsidRPr="003E5206" w:rsidRDefault="00153AB6" w:rsidP="00FA258E">
      <w:pPr>
        <w:jc w:val="both"/>
        <w:rPr>
          <w:rFonts w:ascii="Arial" w:eastAsia="Arial" w:hAnsi="Arial" w:cs="Arial"/>
          <w:color w:val="000000"/>
          <w:sz w:val="22"/>
          <w:szCs w:val="22"/>
          <w:highlight w:val="white"/>
        </w:rPr>
      </w:pPr>
    </w:p>
    <w:p w14:paraId="0000002D" w14:textId="018A1F08" w:rsidR="0099074E" w:rsidRPr="003E5206" w:rsidRDefault="002C3CBA" w:rsidP="00B24CC6">
      <w:pPr>
        <w:pBdr>
          <w:bottom w:val="single" w:sz="18" w:space="1" w:color="auto"/>
        </w:pBdr>
        <w:jc w:val="both"/>
        <w:rPr>
          <w:rFonts w:ascii="Arial" w:eastAsia="Arial" w:hAnsi="Arial" w:cs="Arial"/>
          <w:b/>
          <w:color w:val="000000"/>
          <w:sz w:val="22"/>
          <w:szCs w:val="22"/>
          <w:highlight w:val="white"/>
          <w:lang w:val="es-CO"/>
        </w:rPr>
      </w:pPr>
      <w:r w:rsidRPr="003E5206">
        <w:rPr>
          <w:rFonts w:ascii="Arial" w:eastAsia="Arial" w:hAnsi="Arial" w:cs="Arial"/>
          <w:b/>
          <w:color w:val="000000"/>
          <w:sz w:val="22"/>
          <w:szCs w:val="22"/>
          <w:highlight w:val="white"/>
          <w:lang w:val="es-CO"/>
        </w:rPr>
        <w:t>Conclus</w:t>
      </w:r>
      <w:r w:rsidR="001115B6" w:rsidRPr="003E5206">
        <w:rPr>
          <w:rFonts w:ascii="Arial" w:eastAsia="Arial" w:hAnsi="Arial" w:cs="Arial"/>
          <w:b/>
          <w:color w:val="000000"/>
          <w:sz w:val="22"/>
          <w:szCs w:val="22"/>
          <w:highlight w:val="white"/>
          <w:lang w:val="es-CO"/>
        </w:rPr>
        <w:t>ion</w:t>
      </w:r>
      <w:r w:rsidR="003C38F8" w:rsidRPr="003E5206">
        <w:rPr>
          <w:rFonts w:ascii="Arial" w:eastAsia="Arial" w:hAnsi="Arial" w:cs="Arial"/>
          <w:b/>
          <w:color w:val="000000"/>
          <w:sz w:val="22"/>
          <w:szCs w:val="22"/>
          <w:highlight w:val="white"/>
          <w:lang w:val="es-CO"/>
        </w:rPr>
        <w:t>s</w:t>
      </w:r>
    </w:p>
    <w:p w14:paraId="3467F8A1" w14:textId="77777777" w:rsidR="00705111" w:rsidRPr="003E5206" w:rsidRDefault="00705111" w:rsidP="00B24CC6">
      <w:pPr>
        <w:jc w:val="both"/>
        <w:rPr>
          <w:rFonts w:ascii="Arial" w:eastAsia="Arial" w:hAnsi="Arial" w:cs="Arial"/>
          <w:sz w:val="22"/>
          <w:szCs w:val="22"/>
          <w:lang w:val="es-CO"/>
        </w:rPr>
      </w:pPr>
    </w:p>
    <w:p w14:paraId="0000002F" w14:textId="68B04AA0" w:rsidR="0099074E" w:rsidRPr="003E5206" w:rsidRDefault="00826662" w:rsidP="005E76CE">
      <w:pPr>
        <w:jc w:val="both"/>
        <w:rPr>
          <w:rFonts w:ascii="Arial" w:eastAsia="Arial" w:hAnsi="Arial" w:cs="Arial"/>
          <w:sz w:val="22"/>
          <w:szCs w:val="22"/>
        </w:rPr>
      </w:pPr>
      <w:r w:rsidRPr="003E5206">
        <w:rPr>
          <w:rFonts w:ascii="Arial" w:eastAsia="Arial" w:hAnsi="Arial" w:cs="Arial"/>
          <w:sz w:val="22"/>
          <w:szCs w:val="22"/>
        </w:rPr>
        <w:t xml:space="preserve">Subconjunctival platelet-rich plasma injection represents a safe and effective alternative therapy for the comprehensive management of severe dry eye disease with prior poor response to </w:t>
      </w:r>
      <w:r w:rsidRPr="003E5206">
        <w:rPr>
          <w:rFonts w:ascii="Arial" w:eastAsia="Arial" w:hAnsi="Arial" w:cs="Arial"/>
          <w:sz w:val="22"/>
          <w:szCs w:val="22"/>
        </w:rPr>
        <w:lastRenderedPageBreak/>
        <w:t>conventional treatment, showing remarkable improvement in objective clinical parameters</w:t>
      </w:r>
      <w:r w:rsidR="00DF76DF" w:rsidRPr="003E5206">
        <w:rPr>
          <w:rFonts w:ascii="Arial" w:eastAsia="Arial" w:hAnsi="Arial" w:cs="Arial"/>
          <w:sz w:val="22"/>
          <w:szCs w:val="22"/>
        </w:rPr>
        <w:t xml:space="preserve"> and</w:t>
      </w:r>
      <w:r w:rsidRPr="003E5206">
        <w:rPr>
          <w:rFonts w:ascii="Arial" w:eastAsia="Arial" w:hAnsi="Arial" w:cs="Arial"/>
          <w:sz w:val="22"/>
          <w:szCs w:val="22"/>
        </w:rPr>
        <w:t xml:space="preserve"> evaluators of ocular surface inflammation and tear film quality and stability, as well as in the subjective criteria assessed by the</w:t>
      </w:r>
      <w:r w:rsidR="005E76CE" w:rsidRPr="003E5206">
        <w:rPr>
          <w:rFonts w:ascii="Arial" w:eastAsia="Arial" w:hAnsi="Arial" w:cs="Arial"/>
          <w:sz w:val="22"/>
          <w:szCs w:val="22"/>
        </w:rPr>
        <w:t xml:space="preserve"> </w:t>
      </w:r>
      <w:r w:rsidRPr="003E5206">
        <w:rPr>
          <w:rFonts w:ascii="Arial" w:eastAsia="Arial" w:hAnsi="Arial" w:cs="Arial"/>
          <w:sz w:val="22"/>
          <w:szCs w:val="22"/>
        </w:rPr>
        <w:t>OSDI test, with a</w:t>
      </w:r>
      <w:r w:rsidR="00DC406E" w:rsidRPr="003E5206">
        <w:rPr>
          <w:rFonts w:ascii="Arial" w:eastAsia="Arial" w:hAnsi="Arial" w:cs="Arial"/>
          <w:sz w:val="22"/>
          <w:szCs w:val="22"/>
        </w:rPr>
        <w:t xml:space="preserve"> final</w:t>
      </w:r>
      <w:r w:rsidRPr="003E5206">
        <w:rPr>
          <w:rFonts w:ascii="Arial" w:eastAsia="Arial" w:hAnsi="Arial" w:cs="Arial"/>
          <w:sz w:val="22"/>
          <w:szCs w:val="22"/>
        </w:rPr>
        <w:t xml:space="preserve"> satisfactory result of the patient's perception of improvement in her global condition and subsequent behavior for daily activities, with favorable impact on the quality of life. We consider taking this technique into account as a valid, safe and effective therapeutic resource, especially useful in patients with </w:t>
      </w:r>
      <w:r w:rsidR="009A7CA3" w:rsidRPr="003E5206">
        <w:rPr>
          <w:rFonts w:ascii="Arial" w:eastAsia="Arial" w:hAnsi="Arial" w:cs="Arial"/>
          <w:sz w:val="22"/>
          <w:szCs w:val="22"/>
        </w:rPr>
        <w:t xml:space="preserve">severe </w:t>
      </w:r>
      <w:r w:rsidRPr="003E5206">
        <w:rPr>
          <w:rFonts w:ascii="Arial" w:eastAsia="Arial" w:hAnsi="Arial" w:cs="Arial"/>
          <w:sz w:val="22"/>
          <w:szCs w:val="22"/>
        </w:rPr>
        <w:t xml:space="preserve">disease and </w:t>
      </w:r>
      <w:r w:rsidR="009815C6" w:rsidRPr="003E5206">
        <w:rPr>
          <w:rFonts w:ascii="Arial" w:eastAsia="Arial" w:hAnsi="Arial" w:cs="Arial"/>
          <w:sz w:val="22"/>
          <w:szCs w:val="22"/>
        </w:rPr>
        <w:t>no</w:t>
      </w:r>
      <w:r w:rsidRPr="003E5206">
        <w:rPr>
          <w:rFonts w:ascii="Arial" w:eastAsia="Arial" w:hAnsi="Arial" w:cs="Arial"/>
          <w:sz w:val="22"/>
          <w:szCs w:val="22"/>
        </w:rPr>
        <w:t xml:space="preserve"> improvement with the usual treatment, as well as in those who present poor adherence to topical instillation of eye drops, including blood derivates, in which case the pharmacological preparation in the form of eye drops represents high costs and important difficulties on its authorization.</w:t>
      </w:r>
    </w:p>
    <w:p w14:paraId="14BADFBB" w14:textId="77777777" w:rsidR="00826662" w:rsidRPr="003E5206" w:rsidRDefault="00826662" w:rsidP="00826662">
      <w:pPr>
        <w:rPr>
          <w:rFonts w:ascii="Arial" w:eastAsia="Arial" w:hAnsi="Arial" w:cs="Arial"/>
          <w:sz w:val="22"/>
          <w:szCs w:val="22"/>
        </w:rPr>
      </w:pPr>
    </w:p>
    <w:p w14:paraId="7611906C" w14:textId="4C1EC6AD" w:rsidR="0046775E" w:rsidRPr="003E5206" w:rsidRDefault="00700929" w:rsidP="00700929">
      <w:pPr>
        <w:pBdr>
          <w:bottom w:val="single" w:sz="18" w:space="1" w:color="auto"/>
        </w:pBdr>
        <w:jc w:val="both"/>
        <w:rPr>
          <w:rFonts w:ascii="Arial" w:eastAsia="Arial" w:hAnsi="Arial" w:cs="Arial"/>
          <w:b/>
          <w:color w:val="000000"/>
          <w:sz w:val="22"/>
          <w:szCs w:val="22"/>
          <w:highlight w:val="white"/>
          <w:lang w:val="es-CO"/>
        </w:rPr>
      </w:pPr>
      <w:r w:rsidRPr="003E5206">
        <w:rPr>
          <w:rFonts w:ascii="Arial" w:eastAsia="Arial" w:hAnsi="Arial" w:cs="Arial"/>
          <w:b/>
          <w:color w:val="000000"/>
          <w:sz w:val="22"/>
          <w:szCs w:val="22"/>
          <w:highlight w:val="white"/>
          <w:lang w:val="es-CO"/>
        </w:rPr>
        <w:t>Referenc</w:t>
      </w:r>
      <w:r w:rsidR="00702F41" w:rsidRPr="003E5206">
        <w:rPr>
          <w:rFonts w:ascii="Arial" w:eastAsia="Arial" w:hAnsi="Arial" w:cs="Arial"/>
          <w:b/>
          <w:color w:val="000000"/>
          <w:sz w:val="22"/>
          <w:szCs w:val="22"/>
          <w:highlight w:val="white"/>
          <w:lang w:val="es-CO"/>
        </w:rPr>
        <w:t>es</w:t>
      </w:r>
    </w:p>
    <w:p w14:paraId="6FA3E4CC" w14:textId="77777777" w:rsidR="003C76E5" w:rsidRPr="003E5206" w:rsidRDefault="003C76E5" w:rsidP="00700929">
      <w:pPr>
        <w:pBdr>
          <w:bottom w:val="single" w:sz="18" w:space="1" w:color="auto"/>
        </w:pBdr>
        <w:jc w:val="both"/>
        <w:rPr>
          <w:rFonts w:ascii="Arial" w:eastAsia="Arial" w:hAnsi="Arial" w:cs="Arial"/>
          <w:b/>
          <w:color w:val="000000"/>
          <w:sz w:val="22"/>
          <w:szCs w:val="22"/>
          <w:highlight w:val="white"/>
          <w:lang w:val="es-CO"/>
        </w:rPr>
      </w:pPr>
    </w:p>
    <w:p w14:paraId="743012BA" w14:textId="77777777" w:rsidR="00C10DF7" w:rsidRDefault="00C10DF7" w:rsidP="0030354C">
      <w:pPr>
        <w:widowControl w:val="0"/>
        <w:autoSpaceDE w:val="0"/>
        <w:autoSpaceDN w:val="0"/>
        <w:adjustRightInd w:val="0"/>
        <w:ind w:left="640" w:hanging="640"/>
        <w:rPr>
          <w:rFonts w:ascii="Arial" w:eastAsia="Arial" w:hAnsi="Arial" w:cs="Arial"/>
          <w:sz w:val="22"/>
          <w:szCs w:val="22"/>
          <w:lang w:val="es-CO"/>
        </w:rPr>
      </w:pPr>
    </w:p>
    <w:p w14:paraId="24121947" w14:textId="4B8A1583" w:rsidR="0030354C" w:rsidRPr="003E5206" w:rsidRDefault="00700929" w:rsidP="0030354C">
      <w:pPr>
        <w:widowControl w:val="0"/>
        <w:autoSpaceDE w:val="0"/>
        <w:autoSpaceDN w:val="0"/>
        <w:adjustRightInd w:val="0"/>
        <w:ind w:left="640" w:hanging="640"/>
        <w:rPr>
          <w:rFonts w:ascii="Arial" w:hAnsi="Arial" w:cs="Arial"/>
          <w:noProof/>
          <w:sz w:val="22"/>
          <w:szCs w:val="22"/>
        </w:rPr>
      </w:pPr>
      <w:r w:rsidRPr="003E5206">
        <w:rPr>
          <w:rFonts w:ascii="Arial" w:eastAsia="Arial" w:hAnsi="Arial" w:cs="Arial"/>
          <w:sz w:val="22"/>
          <w:szCs w:val="22"/>
          <w:lang w:val="es-CO"/>
        </w:rPr>
        <w:fldChar w:fldCharType="begin" w:fldLock="1"/>
      </w:r>
      <w:r w:rsidRPr="003E5206">
        <w:rPr>
          <w:rFonts w:ascii="Arial" w:eastAsia="Arial" w:hAnsi="Arial" w:cs="Arial"/>
          <w:sz w:val="22"/>
          <w:szCs w:val="22"/>
        </w:rPr>
        <w:instrText xml:space="preserve">ADDIN Mendeley Bibliography CSL_BIBLIOGRAPHY </w:instrText>
      </w:r>
      <w:r w:rsidRPr="003E5206">
        <w:rPr>
          <w:rFonts w:ascii="Arial" w:eastAsia="Arial" w:hAnsi="Arial" w:cs="Arial"/>
          <w:sz w:val="22"/>
          <w:szCs w:val="22"/>
          <w:lang w:val="es-CO"/>
        </w:rPr>
        <w:fldChar w:fldCharType="separate"/>
      </w:r>
      <w:r w:rsidR="0030354C" w:rsidRPr="003E5206">
        <w:rPr>
          <w:rFonts w:ascii="Arial" w:hAnsi="Arial" w:cs="Arial"/>
          <w:noProof/>
          <w:sz w:val="22"/>
          <w:szCs w:val="22"/>
        </w:rPr>
        <w:t xml:space="preserve">1. </w:t>
      </w:r>
      <w:r w:rsidR="0030354C" w:rsidRPr="003E5206">
        <w:rPr>
          <w:rFonts w:ascii="Arial" w:hAnsi="Arial" w:cs="Arial"/>
          <w:noProof/>
          <w:sz w:val="22"/>
          <w:szCs w:val="22"/>
        </w:rPr>
        <w:tab/>
        <w:t xml:space="preserve">Craig JP, Nichols KK, Akpek EK, Caffery B, Dua HS, Joo CK, et al. TFOS DEWS II Definition and Classification Report. Vol. 15, Ocular Surface. Elsevier Inc.; 2017. p. 276–83. </w:t>
      </w:r>
      <w:bookmarkStart w:id="0" w:name="_GoBack"/>
      <w:bookmarkEnd w:id="0"/>
    </w:p>
    <w:p w14:paraId="65608AD6" w14:textId="77777777" w:rsidR="0030354C" w:rsidRPr="003E5206" w:rsidRDefault="0030354C" w:rsidP="0030354C">
      <w:pPr>
        <w:widowControl w:val="0"/>
        <w:autoSpaceDE w:val="0"/>
        <w:autoSpaceDN w:val="0"/>
        <w:adjustRightInd w:val="0"/>
        <w:ind w:left="640" w:hanging="640"/>
        <w:rPr>
          <w:rFonts w:ascii="Arial" w:hAnsi="Arial" w:cs="Arial"/>
          <w:noProof/>
          <w:sz w:val="22"/>
          <w:szCs w:val="22"/>
          <w:lang w:val="es-ES_tradnl"/>
        </w:rPr>
      </w:pPr>
      <w:r w:rsidRPr="003E5206">
        <w:rPr>
          <w:rFonts w:ascii="Arial" w:hAnsi="Arial" w:cs="Arial"/>
          <w:noProof/>
          <w:sz w:val="22"/>
          <w:szCs w:val="22"/>
        </w:rPr>
        <w:t xml:space="preserve">2. </w:t>
      </w:r>
      <w:r w:rsidRPr="003E5206">
        <w:rPr>
          <w:rFonts w:ascii="Arial" w:hAnsi="Arial" w:cs="Arial"/>
          <w:noProof/>
          <w:sz w:val="22"/>
          <w:szCs w:val="22"/>
        </w:rPr>
        <w:tab/>
        <w:t xml:space="preserve">Bron AJ, de Paiva CS, Chauhan SK, Bonini S, Gabison EE, Jain S, et al. TFOS DEWS II pathophysiology report. </w:t>
      </w:r>
      <w:r w:rsidRPr="003E5206">
        <w:rPr>
          <w:rFonts w:ascii="Arial" w:hAnsi="Arial" w:cs="Arial"/>
          <w:noProof/>
          <w:sz w:val="22"/>
          <w:szCs w:val="22"/>
          <w:lang w:val="es-ES_tradnl"/>
        </w:rPr>
        <w:t xml:space="preserve">Vol. 15, Ocular Surface. Elsevier Inc.; 2017. p. 438–510. </w:t>
      </w:r>
    </w:p>
    <w:p w14:paraId="43BB2FF9" w14:textId="77777777" w:rsidR="0030354C" w:rsidRPr="003E5206" w:rsidRDefault="0030354C" w:rsidP="0030354C">
      <w:pPr>
        <w:widowControl w:val="0"/>
        <w:autoSpaceDE w:val="0"/>
        <w:autoSpaceDN w:val="0"/>
        <w:adjustRightInd w:val="0"/>
        <w:ind w:left="640" w:hanging="640"/>
        <w:rPr>
          <w:rFonts w:ascii="Arial" w:hAnsi="Arial" w:cs="Arial"/>
          <w:noProof/>
          <w:sz w:val="22"/>
          <w:szCs w:val="22"/>
          <w:lang w:val="es-ES_tradnl"/>
        </w:rPr>
      </w:pPr>
      <w:r w:rsidRPr="003E5206">
        <w:rPr>
          <w:rFonts w:ascii="Arial" w:hAnsi="Arial" w:cs="Arial"/>
          <w:noProof/>
          <w:sz w:val="22"/>
          <w:szCs w:val="22"/>
          <w:lang w:val="es-ES_tradnl"/>
        </w:rPr>
        <w:t xml:space="preserve">3. </w:t>
      </w:r>
      <w:r w:rsidRPr="003E5206">
        <w:rPr>
          <w:rFonts w:ascii="Arial" w:hAnsi="Arial" w:cs="Arial"/>
          <w:noProof/>
          <w:sz w:val="22"/>
          <w:szCs w:val="22"/>
          <w:lang w:val="es-ES_tradnl"/>
        </w:rPr>
        <w:tab/>
        <w:t xml:space="preserve">Fonseca EC, Arruda GV, Rocha EM. Olho seco: etiopatogenia e tratamento. Arq Bras Oftalmol. 2010 Mar;73(2):197–203. </w:t>
      </w:r>
    </w:p>
    <w:p w14:paraId="7F2C4370" w14:textId="77777777" w:rsidR="0030354C" w:rsidRPr="003E5206" w:rsidRDefault="0030354C" w:rsidP="0030354C">
      <w:pPr>
        <w:widowControl w:val="0"/>
        <w:autoSpaceDE w:val="0"/>
        <w:autoSpaceDN w:val="0"/>
        <w:adjustRightInd w:val="0"/>
        <w:ind w:left="640" w:hanging="640"/>
        <w:rPr>
          <w:rFonts w:ascii="Arial" w:hAnsi="Arial" w:cs="Arial"/>
          <w:noProof/>
          <w:sz w:val="22"/>
          <w:szCs w:val="22"/>
        </w:rPr>
      </w:pPr>
      <w:r w:rsidRPr="003E5206">
        <w:rPr>
          <w:rFonts w:ascii="Arial" w:hAnsi="Arial" w:cs="Arial"/>
          <w:noProof/>
          <w:sz w:val="22"/>
          <w:szCs w:val="22"/>
          <w:lang w:val="es-ES_tradnl"/>
        </w:rPr>
        <w:t xml:space="preserve">4. </w:t>
      </w:r>
      <w:r w:rsidRPr="003E5206">
        <w:rPr>
          <w:rFonts w:ascii="Arial" w:hAnsi="Arial" w:cs="Arial"/>
          <w:noProof/>
          <w:sz w:val="22"/>
          <w:szCs w:val="22"/>
          <w:lang w:val="es-ES_tradnl"/>
        </w:rPr>
        <w:tab/>
        <w:t xml:space="preserve">Jones L, Downie LE, Korb D, Benitez-del-Castillo JM, Dana R, Deng SX, et al. </w:t>
      </w:r>
      <w:r w:rsidRPr="003E5206">
        <w:rPr>
          <w:rFonts w:ascii="Arial" w:hAnsi="Arial" w:cs="Arial"/>
          <w:noProof/>
          <w:sz w:val="22"/>
          <w:szCs w:val="22"/>
        </w:rPr>
        <w:t xml:space="preserve">TFOS DEWS II Management and Therapy Report. Vol. 15, Ocular Surface. Elsevier Inc.; 2017. p. 575–628. </w:t>
      </w:r>
    </w:p>
    <w:p w14:paraId="602413AD" w14:textId="77777777" w:rsidR="0030354C" w:rsidRPr="003E5206" w:rsidRDefault="0030354C" w:rsidP="0030354C">
      <w:pPr>
        <w:widowControl w:val="0"/>
        <w:autoSpaceDE w:val="0"/>
        <w:autoSpaceDN w:val="0"/>
        <w:adjustRightInd w:val="0"/>
        <w:ind w:left="640" w:hanging="640"/>
        <w:rPr>
          <w:rFonts w:ascii="Arial" w:hAnsi="Arial" w:cs="Arial"/>
          <w:noProof/>
          <w:sz w:val="22"/>
          <w:szCs w:val="22"/>
        </w:rPr>
      </w:pPr>
      <w:r w:rsidRPr="003E5206">
        <w:rPr>
          <w:rFonts w:ascii="Arial" w:hAnsi="Arial" w:cs="Arial"/>
          <w:noProof/>
          <w:sz w:val="22"/>
          <w:szCs w:val="22"/>
        </w:rPr>
        <w:t xml:space="preserve">5. </w:t>
      </w:r>
      <w:r w:rsidRPr="003E5206">
        <w:rPr>
          <w:rFonts w:ascii="Arial" w:hAnsi="Arial" w:cs="Arial"/>
          <w:noProof/>
          <w:sz w:val="22"/>
          <w:szCs w:val="22"/>
        </w:rPr>
        <w:tab/>
        <w:t xml:space="preserve">Alio JL, Colecha JR, Pastor S, Rodriguez A, Artola A. Symptomatic dry eye treatment with autologous platelet-rich plasma. Ophthalmic Res. 2007 Jun;39(3):124–9. </w:t>
      </w:r>
    </w:p>
    <w:p w14:paraId="6313B494" w14:textId="77777777" w:rsidR="0030354C" w:rsidRPr="003E5206" w:rsidRDefault="0030354C" w:rsidP="0030354C">
      <w:pPr>
        <w:widowControl w:val="0"/>
        <w:autoSpaceDE w:val="0"/>
        <w:autoSpaceDN w:val="0"/>
        <w:adjustRightInd w:val="0"/>
        <w:ind w:left="640" w:hanging="640"/>
        <w:rPr>
          <w:rFonts w:ascii="Arial" w:hAnsi="Arial" w:cs="Arial"/>
          <w:noProof/>
          <w:sz w:val="22"/>
          <w:szCs w:val="22"/>
        </w:rPr>
      </w:pPr>
      <w:r w:rsidRPr="003E5206">
        <w:rPr>
          <w:rFonts w:ascii="Arial" w:hAnsi="Arial" w:cs="Arial"/>
          <w:noProof/>
          <w:sz w:val="22"/>
          <w:szCs w:val="22"/>
        </w:rPr>
        <w:t xml:space="preserve">6. </w:t>
      </w:r>
      <w:r w:rsidRPr="003E5206">
        <w:rPr>
          <w:rFonts w:ascii="Arial" w:hAnsi="Arial" w:cs="Arial"/>
          <w:noProof/>
          <w:sz w:val="22"/>
          <w:szCs w:val="22"/>
        </w:rPr>
        <w:tab/>
        <w:t xml:space="preserve">Urzua CA, Vasquez DH, Huidobro A, Hernandez H, Alfaro J. Randomized double-blind clinical trial of autologous serum versus artificial tears in dry eye syndrome. Curr Eye Res. 2012 Aug;37(8):684–8. </w:t>
      </w:r>
    </w:p>
    <w:p w14:paraId="06037EB7" w14:textId="77777777" w:rsidR="0030354C" w:rsidRPr="003E5206" w:rsidRDefault="0030354C" w:rsidP="0030354C">
      <w:pPr>
        <w:widowControl w:val="0"/>
        <w:autoSpaceDE w:val="0"/>
        <w:autoSpaceDN w:val="0"/>
        <w:adjustRightInd w:val="0"/>
        <w:ind w:left="640" w:hanging="640"/>
        <w:rPr>
          <w:rFonts w:ascii="Arial" w:hAnsi="Arial" w:cs="Arial"/>
          <w:noProof/>
          <w:sz w:val="22"/>
          <w:szCs w:val="22"/>
        </w:rPr>
      </w:pPr>
      <w:r w:rsidRPr="003E5206">
        <w:rPr>
          <w:rFonts w:ascii="Arial" w:hAnsi="Arial" w:cs="Arial"/>
          <w:noProof/>
          <w:sz w:val="22"/>
          <w:szCs w:val="22"/>
        </w:rPr>
        <w:t xml:space="preserve">7. </w:t>
      </w:r>
      <w:r w:rsidRPr="003E5206">
        <w:rPr>
          <w:rFonts w:ascii="Arial" w:hAnsi="Arial" w:cs="Arial"/>
          <w:noProof/>
          <w:sz w:val="22"/>
          <w:szCs w:val="22"/>
        </w:rPr>
        <w:tab/>
        <w:t xml:space="preserve">López-Plandolit S, Morales MC, Freire V, Grau AE, Durán JA. Efficacy of plasma rich in growth factors for the treatment of dry eye. Cornea. 2011 Dec;30(12):1312–7. </w:t>
      </w:r>
    </w:p>
    <w:p w14:paraId="4F20EA00" w14:textId="77777777" w:rsidR="0030354C" w:rsidRPr="003E5206" w:rsidRDefault="0030354C" w:rsidP="0030354C">
      <w:pPr>
        <w:widowControl w:val="0"/>
        <w:autoSpaceDE w:val="0"/>
        <w:autoSpaceDN w:val="0"/>
        <w:adjustRightInd w:val="0"/>
        <w:ind w:left="640" w:hanging="640"/>
        <w:rPr>
          <w:rFonts w:ascii="Arial" w:hAnsi="Arial" w:cs="Arial"/>
          <w:noProof/>
          <w:sz w:val="22"/>
          <w:szCs w:val="22"/>
        </w:rPr>
      </w:pPr>
      <w:r w:rsidRPr="003E5206">
        <w:rPr>
          <w:rFonts w:ascii="Arial" w:hAnsi="Arial" w:cs="Arial"/>
          <w:noProof/>
          <w:sz w:val="22"/>
          <w:szCs w:val="22"/>
        </w:rPr>
        <w:t xml:space="preserve">8. </w:t>
      </w:r>
      <w:r w:rsidRPr="003E5206">
        <w:rPr>
          <w:rFonts w:ascii="Arial" w:hAnsi="Arial" w:cs="Arial"/>
          <w:noProof/>
          <w:sz w:val="22"/>
          <w:szCs w:val="22"/>
        </w:rPr>
        <w:tab/>
        <w:t xml:space="preserve">L. Alio J, Arnalich-Montiel F, E. Rodriguez A. The Role of “Eye Platelet Rich Plasma” (E-Prp) for Wound Healing in Ophthalmology. Curr Pharm Biotechnol. 2012 Jun 12;13(7):1257–65. </w:t>
      </w:r>
    </w:p>
    <w:p w14:paraId="3CBDF2B1" w14:textId="77777777" w:rsidR="0030354C" w:rsidRPr="003E5206" w:rsidRDefault="0030354C" w:rsidP="0030354C">
      <w:pPr>
        <w:widowControl w:val="0"/>
        <w:autoSpaceDE w:val="0"/>
        <w:autoSpaceDN w:val="0"/>
        <w:adjustRightInd w:val="0"/>
        <w:ind w:left="640" w:hanging="640"/>
        <w:rPr>
          <w:rFonts w:ascii="Arial" w:hAnsi="Arial" w:cs="Arial"/>
          <w:noProof/>
          <w:sz w:val="22"/>
          <w:szCs w:val="22"/>
        </w:rPr>
      </w:pPr>
      <w:r w:rsidRPr="003E5206">
        <w:rPr>
          <w:rFonts w:ascii="Arial" w:hAnsi="Arial" w:cs="Arial"/>
          <w:noProof/>
          <w:sz w:val="22"/>
          <w:szCs w:val="22"/>
        </w:rPr>
        <w:t xml:space="preserve">9. </w:t>
      </w:r>
      <w:r w:rsidRPr="003E5206">
        <w:rPr>
          <w:rFonts w:ascii="Arial" w:hAnsi="Arial" w:cs="Arial"/>
          <w:noProof/>
          <w:sz w:val="22"/>
          <w:szCs w:val="22"/>
        </w:rPr>
        <w:tab/>
        <w:t xml:space="preserve">Avila MY, Igua AM, Mora AM. Randomised, prospective clinical trial of platelet-rich plasma injection in the management of severe dry eye. Br J Ophthalmol. 2019 May 1;103(5):648–53. </w:t>
      </w:r>
    </w:p>
    <w:p w14:paraId="5E145155" w14:textId="77777777" w:rsidR="0030354C" w:rsidRPr="003E5206" w:rsidRDefault="0030354C" w:rsidP="0030354C">
      <w:pPr>
        <w:widowControl w:val="0"/>
        <w:autoSpaceDE w:val="0"/>
        <w:autoSpaceDN w:val="0"/>
        <w:adjustRightInd w:val="0"/>
        <w:ind w:left="640" w:hanging="640"/>
        <w:rPr>
          <w:rFonts w:ascii="Arial" w:hAnsi="Arial" w:cs="Arial"/>
          <w:noProof/>
          <w:sz w:val="22"/>
          <w:szCs w:val="22"/>
        </w:rPr>
      </w:pPr>
      <w:r w:rsidRPr="003E5206">
        <w:rPr>
          <w:rFonts w:ascii="Arial" w:hAnsi="Arial" w:cs="Arial"/>
          <w:noProof/>
          <w:sz w:val="22"/>
          <w:szCs w:val="22"/>
        </w:rPr>
        <w:t xml:space="preserve">10. </w:t>
      </w:r>
      <w:r w:rsidRPr="003E5206">
        <w:rPr>
          <w:rFonts w:ascii="Arial" w:hAnsi="Arial" w:cs="Arial"/>
          <w:noProof/>
          <w:sz w:val="22"/>
          <w:szCs w:val="22"/>
        </w:rPr>
        <w:tab/>
        <w:t xml:space="preserve">Alio JL, Rodriguez AE, Ferreira-Oliveira R, Wróbel-Dudzińska D, Abdelghany AA. Treatment of Dry Eye Disease with Autologous Platelet-Rich Plasma: A Prospective, Interventional, Non-Randomized Study. </w:t>
      </w:r>
      <w:r w:rsidRPr="003E5206">
        <w:rPr>
          <w:rFonts w:ascii="Arial" w:hAnsi="Arial" w:cs="Arial"/>
          <w:noProof/>
          <w:sz w:val="22"/>
          <w:szCs w:val="22"/>
          <w:lang w:val="es-ES_tradnl"/>
        </w:rPr>
        <w:t xml:space="preserve">Ophthalmol Ther. 2017 Dec 1;6(2):285–93. </w:t>
      </w:r>
    </w:p>
    <w:p w14:paraId="1284A64D" w14:textId="0CD1A0AD" w:rsidR="00700929" w:rsidRPr="003E5206" w:rsidRDefault="00700929" w:rsidP="0030354C">
      <w:pPr>
        <w:widowControl w:val="0"/>
        <w:autoSpaceDE w:val="0"/>
        <w:autoSpaceDN w:val="0"/>
        <w:adjustRightInd w:val="0"/>
        <w:ind w:left="640" w:hanging="640"/>
        <w:rPr>
          <w:rFonts w:ascii="Arial" w:eastAsia="Arial" w:hAnsi="Arial" w:cs="Arial"/>
          <w:sz w:val="22"/>
          <w:szCs w:val="22"/>
          <w:lang w:val="es-CO"/>
        </w:rPr>
      </w:pPr>
      <w:r w:rsidRPr="003E5206">
        <w:rPr>
          <w:rFonts w:ascii="Arial" w:eastAsia="Arial" w:hAnsi="Arial" w:cs="Arial"/>
          <w:sz w:val="22"/>
          <w:szCs w:val="22"/>
          <w:lang w:val="es-CO"/>
        </w:rPr>
        <w:fldChar w:fldCharType="end"/>
      </w:r>
    </w:p>
    <w:sectPr w:rsidR="00700929" w:rsidRPr="003E5206">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27ABE6" w14:textId="77777777" w:rsidR="00655EBC" w:rsidRDefault="00655EBC">
      <w:r>
        <w:separator/>
      </w:r>
    </w:p>
  </w:endnote>
  <w:endnote w:type="continuationSeparator" w:id="0">
    <w:p w14:paraId="195F0C3E" w14:textId="77777777" w:rsidR="00655EBC" w:rsidRDefault="00655EBC">
      <w:r>
        <w:continuationSeparator/>
      </w:r>
    </w:p>
  </w:endnote>
  <w:endnote w:type="continuationNotice" w:id="1">
    <w:p w14:paraId="40B369C0" w14:textId="77777777" w:rsidR="00655EBC" w:rsidRDefault="00655E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游ゴシック Light">
    <w:panose1 w:val="00000000000000000000"/>
    <w:charset w:val="80"/>
    <w:family w:val="roman"/>
    <w:notTrueType/>
    <w:pitch w:val="default"/>
  </w:font>
  <w:font w:name="Calibri Light">
    <w:panose1 w:val="020F0302020204030204"/>
    <w:charset w:val="00"/>
    <w:family w:val="swiss"/>
    <w:pitch w:val="variable"/>
    <w:sig w:usb0="E0002AFF" w:usb1="C000247B" w:usb2="00000009" w:usb3="00000000" w:csb0="000001FF" w:csb1="00000000"/>
  </w:font>
  <w:font w:name="游明朝">
    <w:panose1 w:val="00000000000000000000"/>
    <w:charset w:val="8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F15C6C" w14:textId="77777777" w:rsidR="00655EBC" w:rsidRDefault="00655EBC">
      <w:r>
        <w:separator/>
      </w:r>
    </w:p>
  </w:footnote>
  <w:footnote w:type="continuationSeparator" w:id="0">
    <w:p w14:paraId="04C217C0" w14:textId="77777777" w:rsidR="00655EBC" w:rsidRDefault="00655EBC">
      <w:r>
        <w:continuationSeparator/>
      </w:r>
    </w:p>
  </w:footnote>
  <w:footnote w:type="continuationNotice" w:id="1">
    <w:p w14:paraId="52FCB569" w14:textId="77777777" w:rsidR="00655EBC" w:rsidRDefault="00655EBC"/>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DU2NzKxMDIyMgCyTZR0lIJTi4sz8/NACgxrAclz4uIsAAAA"/>
  </w:docVars>
  <w:rsids>
    <w:rsidRoot w:val="0099074E"/>
    <w:rsid w:val="00037A41"/>
    <w:rsid w:val="00054CA3"/>
    <w:rsid w:val="0005631A"/>
    <w:rsid w:val="00062464"/>
    <w:rsid w:val="00075AF6"/>
    <w:rsid w:val="00091D31"/>
    <w:rsid w:val="000A45F7"/>
    <w:rsid w:val="000A637F"/>
    <w:rsid w:val="000A6EED"/>
    <w:rsid w:val="000B0750"/>
    <w:rsid w:val="000F3254"/>
    <w:rsid w:val="000F5C5E"/>
    <w:rsid w:val="001008EA"/>
    <w:rsid w:val="00102582"/>
    <w:rsid w:val="001115B6"/>
    <w:rsid w:val="00113CB1"/>
    <w:rsid w:val="00130395"/>
    <w:rsid w:val="00153AB6"/>
    <w:rsid w:val="00165586"/>
    <w:rsid w:val="001679A9"/>
    <w:rsid w:val="001A0E33"/>
    <w:rsid w:val="001A5781"/>
    <w:rsid w:val="001A5F01"/>
    <w:rsid w:val="001C1A47"/>
    <w:rsid w:val="001C21DB"/>
    <w:rsid w:val="001C3D3A"/>
    <w:rsid w:val="001C5E32"/>
    <w:rsid w:val="00207690"/>
    <w:rsid w:val="00211354"/>
    <w:rsid w:val="0021593B"/>
    <w:rsid w:val="002346F7"/>
    <w:rsid w:val="00236602"/>
    <w:rsid w:val="0026619A"/>
    <w:rsid w:val="00295385"/>
    <w:rsid w:val="00295B16"/>
    <w:rsid w:val="002A1892"/>
    <w:rsid w:val="002A258E"/>
    <w:rsid w:val="002A5FA5"/>
    <w:rsid w:val="002A67A7"/>
    <w:rsid w:val="002B28A7"/>
    <w:rsid w:val="002C3CBA"/>
    <w:rsid w:val="002C6791"/>
    <w:rsid w:val="002C6C72"/>
    <w:rsid w:val="002D6822"/>
    <w:rsid w:val="002E6F8F"/>
    <w:rsid w:val="002F29DA"/>
    <w:rsid w:val="0030354C"/>
    <w:rsid w:val="00304E49"/>
    <w:rsid w:val="0032771D"/>
    <w:rsid w:val="00344460"/>
    <w:rsid w:val="0034460E"/>
    <w:rsid w:val="00347A5E"/>
    <w:rsid w:val="003859E0"/>
    <w:rsid w:val="00392540"/>
    <w:rsid w:val="00395070"/>
    <w:rsid w:val="003958A5"/>
    <w:rsid w:val="00395993"/>
    <w:rsid w:val="003A3444"/>
    <w:rsid w:val="003A7F97"/>
    <w:rsid w:val="003B0B4E"/>
    <w:rsid w:val="003C38F8"/>
    <w:rsid w:val="003C4D9C"/>
    <w:rsid w:val="003C76E5"/>
    <w:rsid w:val="003D4B46"/>
    <w:rsid w:val="003D54EA"/>
    <w:rsid w:val="003E42EA"/>
    <w:rsid w:val="003E5206"/>
    <w:rsid w:val="003E587E"/>
    <w:rsid w:val="003F337D"/>
    <w:rsid w:val="004059DC"/>
    <w:rsid w:val="00431EF9"/>
    <w:rsid w:val="00434E13"/>
    <w:rsid w:val="0046360E"/>
    <w:rsid w:val="0046775E"/>
    <w:rsid w:val="00490217"/>
    <w:rsid w:val="00492DAE"/>
    <w:rsid w:val="00494EFA"/>
    <w:rsid w:val="004A47A0"/>
    <w:rsid w:val="004A77C3"/>
    <w:rsid w:val="004B476F"/>
    <w:rsid w:val="004C2780"/>
    <w:rsid w:val="004C6F16"/>
    <w:rsid w:val="004D38AD"/>
    <w:rsid w:val="00513F32"/>
    <w:rsid w:val="00520792"/>
    <w:rsid w:val="00522B4D"/>
    <w:rsid w:val="00527433"/>
    <w:rsid w:val="005367A8"/>
    <w:rsid w:val="0054676A"/>
    <w:rsid w:val="005729E1"/>
    <w:rsid w:val="00575ADA"/>
    <w:rsid w:val="005767E7"/>
    <w:rsid w:val="00590811"/>
    <w:rsid w:val="005946A6"/>
    <w:rsid w:val="005A3E89"/>
    <w:rsid w:val="005C4F64"/>
    <w:rsid w:val="005D74E6"/>
    <w:rsid w:val="005E0813"/>
    <w:rsid w:val="005E2D57"/>
    <w:rsid w:val="005E76CE"/>
    <w:rsid w:val="005F37C1"/>
    <w:rsid w:val="0060161D"/>
    <w:rsid w:val="00610DE2"/>
    <w:rsid w:val="006157D0"/>
    <w:rsid w:val="00625983"/>
    <w:rsid w:val="00625CC4"/>
    <w:rsid w:val="00646AE4"/>
    <w:rsid w:val="00655EBC"/>
    <w:rsid w:val="006601CF"/>
    <w:rsid w:val="00661C9E"/>
    <w:rsid w:val="00663C11"/>
    <w:rsid w:val="00691A5C"/>
    <w:rsid w:val="0069569A"/>
    <w:rsid w:val="006A25A5"/>
    <w:rsid w:val="006A3591"/>
    <w:rsid w:val="006A5141"/>
    <w:rsid w:val="006F04B2"/>
    <w:rsid w:val="00700929"/>
    <w:rsid w:val="00702F41"/>
    <w:rsid w:val="00704EE7"/>
    <w:rsid w:val="00705111"/>
    <w:rsid w:val="00712C68"/>
    <w:rsid w:val="00716594"/>
    <w:rsid w:val="00722617"/>
    <w:rsid w:val="00726083"/>
    <w:rsid w:val="00733750"/>
    <w:rsid w:val="00750A08"/>
    <w:rsid w:val="007773E3"/>
    <w:rsid w:val="00782D54"/>
    <w:rsid w:val="0078593E"/>
    <w:rsid w:val="007A31BE"/>
    <w:rsid w:val="007D3C9E"/>
    <w:rsid w:val="007D5CBC"/>
    <w:rsid w:val="007F1B46"/>
    <w:rsid w:val="00817EA7"/>
    <w:rsid w:val="00826662"/>
    <w:rsid w:val="00834D6A"/>
    <w:rsid w:val="0085355B"/>
    <w:rsid w:val="00866A40"/>
    <w:rsid w:val="0086716F"/>
    <w:rsid w:val="00873B5D"/>
    <w:rsid w:val="00875FB3"/>
    <w:rsid w:val="00885FFF"/>
    <w:rsid w:val="0088621F"/>
    <w:rsid w:val="008A2CC5"/>
    <w:rsid w:val="008A6D11"/>
    <w:rsid w:val="008C55C9"/>
    <w:rsid w:val="00937722"/>
    <w:rsid w:val="00946D9A"/>
    <w:rsid w:val="009815C6"/>
    <w:rsid w:val="0099074E"/>
    <w:rsid w:val="00997393"/>
    <w:rsid w:val="009A196B"/>
    <w:rsid w:val="009A6ED5"/>
    <w:rsid w:val="009A7CA3"/>
    <w:rsid w:val="009C5650"/>
    <w:rsid w:val="009D0A42"/>
    <w:rsid w:val="009D0D42"/>
    <w:rsid w:val="00A022CC"/>
    <w:rsid w:val="00A074F7"/>
    <w:rsid w:val="00A10DA4"/>
    <w:rsid w:val="00A1193E"/>
    <w:rsid w:val="00A13574"/>
    <w:rsid w:val="00A21920"/>
    <w:rsid w:val="00A24FE7"/>
    <w:rsid w:val="00A3089D"/>
    <w:rsid w:val="00A954E9"/>
    <w:rsid w:val="00AA16F7"/>
    <w:rsid w:val="00AA2F8B"/>
    <w:rsid w:val="00AA32E1"/>
    <w:rsid w:val="00AA4C6D"/>
    <w:rsid w:val="00AB1BE4"/>
    <w:rsid w:val="00AB5388"/>
    <w:rsid w:val="00AC1251"/>
    <w:rsid w:val="00AF2A07"/>
    <w:rsid w:val="00B105F9"/>
    <w:rsid w:val="00B23A7B"/>
    <w:rsid w:val="00B24CC6"/>
    <w:rsid w:val="00B33322"/>
    <w:rsid w:val="00B50642"/>
    <w:rsid w:val="00B51EB1"/>
    <w:rsid w:val="00B65E4D"/>
    <w:rsid w:val="00B65F1E"/>
    <w:rsid w:val="00B84FB1"/>
    <w:rsid w:val="00B926CB"/>
    <w:rsid w:val="00BA6145"/>
    <w:rsid w:val="00BB0952"/>
    <w:rsid w:val="00BB0F38"/>
    <w:rsid w:val="00BB4647"/>
    <w:rsid w:val="00BB6AD9"/>
    <w:rsid w:val="00BD5599"/>
    <w:rsid w:val="00BE2C04"/>
    <w:rsid w:val="00BF5671"/>
    <w:rsid w:val="00BF64D3"/>
    <w:rsid w:val="00C01CD1"/>
    <w:rsid w:val="00C0785C"/>
    <w:rsid w:val="00C10DF7"/>
    <w:rsid w:val="00C3092F"/>
    <w:rsid w:val="00C43297"/>
    <w:rsid w:val="00C53DA0"/>
    <w:rsid w:val="00C601B6"/>
    <w:rsid w:val="00C60281"/>
    <w:rsid w:val="00C815A9"/>
    <w:rsid w:val="00C82390"/>
    <w:rsid w:val="00CF1E71"/>
    <w:rsid w:val="00D03622"/>
    <w:rsid w:val="00D04314"/>
    <w:rsid w:val="00D1025B"/>
    <w:rsid w:val="00D115AA"/>
    <w:rsid w:val="00D218CE"/>
    <w:rsid w:val="00D32545"/>
    <w:rsid w:val="00D34E3A"/>
    <w:rsid w:val="00D45EEF"/>
    <w:rsid w:val="00D505AC"/>
    <w:rsid w:val="00D5335C"/>
    <w:rsid w:val="00D72A72"/>
    <w:rsid w:val="00DA4CC4"/>
    <w:rsid w:val="00DB5145"/>
    <w:rsid w:val="00DB6B73"/>
    <w:rsid w:val="00DC406E"/>
    <w:rsid w:val="00DC482F"/>
    <w:rsid w:val="00DE18E2"/>
    <w:rsid w:val="00DE3A48"/>
    <w:rsid w:val="00DF76DF"/>
    <w:rsid w:val="00E24856"/>
    <w:rsid w:val="00E26648"/>
    <w:rsid w:val="00E26E78"/>
    <w:rsid w:val="00E46439"/>
    <w:rsid w:val="00E62840"/>
    <w:rsid w:val="00E65B86"/>
    <w:rsid w:val="00E91294"/>
    <w:rsid w:val="00EF285E"/>
    <w:rsid w:val="00EF5F04"/>
    <w:rsid w:val="00F0604F"/>
    <w:rsid w:val="00F45313"/>
    <w:rsid w:val="00F52ED9"/>
    <w:rsid w:val="00F57FD7"/>
    <w:rsid w:val="00F67FEE"/>
    <w:rsid w:val="00F818B7"/>
    <w:rsid w:val="00F97669"/>
    <w:rsid w:val="00FA258E"/>
    <w:rsid w:val="00FB54C6"/>
    <w:rsid w:val="00FB5575"/>
    <w:rsid w:val="00FC2D17"/>
    <w:rsid w:val="00FF0BD9"/>
    <w:rsid w:val="00FF2872"/>
    <w:rsid w:val="1C75D405"/>
    <w:rsid w:val="248FAB53"/>
    <w:rsid w:val="2A492573"/>
    <w:rsid w:val="3B970661"/>
    <w:rsid w:val="4300DB0A"/>
    <w:rsid w:val="60E4BDB5"/>
    <w:rsid w:val="6569F530"/>
    <w:rsid w:val="67B172A1"/>
    <w:rsid w:val="6D16514C"/>
  </w:rsids>
  <m:mathPr>
    <m:mathFont m:val="Cambria Math"/>
    <m:brkBin m:val="before"/>
    <m:brkBinSub m:val="--"/>
    <m:smallFrac m:val="0"/>
    <m:dispDef/>
    <m:lMargin m:val="0"/>
    <m:rMargin m:val="0"/>
    <m:defJc m:val="centerGroup"/>
    <m:wrapIndent m:val="1440"/>
    <m:intLim m:val="subSup"/>
    <m:naryLim m:val="undOvr"/>
  </m:mathPr>
  <w:themeFontLang w:val="es-C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3248CA"/>
  <w15:docId w15:val="{91C56B77-9E06-4E77-93C6-2478BD652B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4"/>
        <w:szCs w:val="24"/>
        <w:lang w:val="en-US" w:eastAsia="es-ES_tradn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3AAF"/>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Puesto">
    <w:name w:val="Title"/>
    <w:basedOn w:val="Normal"/>
    <w:next w:val="Normal"/>
    <w:uiPriority w:val="10"/>
    <w:qFormat/>
    <w:pPr>
      <w:keepNext/>
      <w:keepLines/>
      <w:spacing w:before="480" w:after="120"/>
    </w:pPr>
    <w:rPr>
      <w:b/>
      <w:sz w:val="72"/>
      <w:szCs w:val="72"/>
    </w:rPr>
  </w:style>
  <w:style w:type="paragraph" w:styleId="Sinespaciado">
    <w:name w:val="No Spacing"/>
    <w:uiPriority w:val="1"/>
    <w:qFormat/>
    <w:rsid w:val="00D93AAF"/>
  </w:style>
  <w:style w:type="paragraph" w:styleId="Textonotapie">
    <w:name w:val="footnote text"/>
    <w:basedOn w:val="Normal"/>
    <w:link w:val="TextonotapieCar"/>
    <w:uiPriority w:val="99"/>
    <w:semiHidden/>
    <w:unhideWhenUsed/>
    <w:rsid w:val="00D93AAF"/>
    <w:rPr>
      <w:sz w:val="20"/>
      <w:szCs w:val="20"/>
    </w:rPr>
  </w:style>
  <w:style w:type="character" w:customStyle="1" w:styleId="TextonotapieCar">
    <w:name w:val="Texto nota pie Car"/>
    <w:basedOn w:val="Fuentedeprrafopredeter"/>
    <w:link w:val="Textonotapie"/>
    <w:uiPriority w:val="99"/>
    <w:semiHidden/>
    <w:rsid w:val="00D93AAF"/>
    <w:rPr>
      <w:sz w:val="20"/>
      <w:szCs w:val="20"/>
    </w:rPr>
  </w:style>
  <w:style w:type="character" w:styleId="Refdenotaalpie">
    <w:name w:val="footnote reference"/>
    <w:basedOn w:val="Fuentedeprrafopredeter"/>
    <w:uiPriority w:val="99"/>
    <w:semiHidden/>
    <w:unhideWhenUsed/>
    <w:rsid w:val="00D93AAF"/>
    <w:rPr>
      <w:vertAlign w:val="superscript"/>
    </w:rPr>
  </w:style>
  <w:style w:type="paragraph" w:styleId="NormalWeb">
    <w:name w:val="Normal (Web)"/>
    <w:basedOn w:val="Normal"/>
    <w:uiPriority w:val="99"/>
    <w:semiHidden/>
    <w:unhideWhenUsed/>
    <w:rsid w:val="006C7754"/>
    <w:pPr>
      <w:spacing w:before="100" w:beforeAutospacing="1" w:after="100" w:afterAutospacing="1"/>
    </w:pPr>
    <w:rPr>
      <w:rFonts w:ascii="Times New Roman" w:eastAsia="Times New Roman" w:hAnsi="Times New Roman" w:cs="Times New Roman"/>
    </w:rPr>
  </w:style>
  <w:style w:type="character" w:styleId="Refdecomentario">
    <w:name w:val="annotation reference"/>
    <w:basedOn w:val="Fuentedeprrafopredeter"/>
    <w:uiPriority w:val="99"/>
    <w:semiHidden/>
    <w:unhideWhenUsed/>
    <w:rsid w:val="00006A71"/>
    <w:rPr>
      <w:sz w:val="16"/>
      <w:szCs w:val="16"/>
    </w:rPr>
  </w:style>
  <w:style w:type="paragraph" w:styleId="Textocomentario">
    <w:name w:val="annotation text"/>
    <w:basedOn w:val="Normal"/>
    <w:link w:val="TextocomentarioCar"/>
    <w:uiPriority w:val="99"/>
    <w:semiHidden/>
    <w:unhideWhenUsed/>
    <w:rsid w:val="00006A71"/>
    <w:rPr>
      <w:sz w:val="20"/>
      <w:szCs w:val="20"/>
    </w:rPr>
  </w:style>
  <w:style w:type="character" w:customStyle="1" w:styleId="TextocomentarioCar">
    <w:name w:val="Texto comentario Car"/>
    <w:basedOn w:val="Fuentedeprrafopredeter"/>
    <w:link w:val="Textocomentario"/>
    <w:uiPriority w:val="99"/>
    <w:semiHidden/>
    <w:rsid w:val="00006A71"/>
    <w:rPr>
      <w:sz w:val="20"/>
      <w:szCs w:val="20"/>
    </w:rPr>
  </w:style>
  <w:style w:type="paragraph" w:styleId="Asuntodelcomentario">
    <w:name w:val="annotation subject"/>
    <w:basedOn w:val="Textocomentario"/>
    <w:next w:val="Textocomentario"/>
    <w:link w:val="AsuntodelcomentarioCar"/>
    <w:uiPriority w:val="99"/>
    <w:semiHidden/>
    <w:unhideWhenUsed/>
    <w:rsid w:val="00006A71"/>
    <w:rPr>
      <w:b/>
      <w:bCs/>
    </w:rPr>
  </w:style>
  <w:style w:type="character" w:customStyle="1" w:styleId="AsuntodelcomentarioCar">
    <w:name w:val="Asunto del comentario Car"/>
    <w:basedOn w:val="TextocomentarioCar"/>
    <w:link w:val="Asuntodelcomentario"/>
    <w:uiPriority w:val="99"/>
    <w:semiHidden/>
    <w:rsid w:val="00006A71"/>
    <w:rPr>
      <w:b/>
      <w:bCs/>
      <w:sz w:val="20"/>
      <w:szCs w:val="20"/>
    </w:rPr>
  </w:style>
  <w:style w:type="paragraph" w:styleId="Textodeglobo">
    <w:name w:val="Balloon Text"/>
    <w:basedOn w:val="Normal"/>
    <w:link w:val="TextodegloboCar"/>
    <w:uiPriority w:val="99"/>
    <w:semiHidden/>
    <w:unhideWhenUsed/>
    <w:rsid w:val="00006A71"/>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06A71"/>
    <w:rPr>
      <w:rFonts w:ascii="Segoe UI" w:hAnsi="Segoe UI" w:cs="Segoe UI"/>
      <w:sz w:val="18"/>
      <w:szCs w:val="18"/>
    </w:rPr>
  </w:style>
  <w:style w:type="paragraph" w:styleId="Revisin">
    <w:name w:val="Revision"/>
    <w:hidden/>
    <w:uiPriority w:val="99"/>
    <w:semiHidden/>
    <w:rsid w:val="00006A71"/>
  </w:style>
  <w:style w:type="character" w:styleId="Hipervnculo">
    <w:name w:val="Hyperlink"/>
    <w:basedOn w:val="Fuentedeprrafopredeter"/>
    <w:uiPriority w:val="99"/>
    <w:unhideWhenUsed/>
    <w:rsid w:val="00B91414"/>
    <w:rPr>
      <w:color w:val="0563C1" w:themeColor="hyperlink"/>
      <w:u w:val="single"/>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Encabezado">
    <w:name w:val="header"/>
    <w:basedOn w:val="Normal"/>
    <w:link w:val="EncabezadoCar"/>
    <w:uiPriority w:val="99"/>
    <w:semiHidden/>
    <w:unhideWhenUsed/>
    <w:rsid w:val="000A6EED"/>
    <w:pPr>
      <w:tabs>
        <w:tab w:val="center" w:pos="4680"/>
        <w:tab w:val="right" w:pos="9360"/>
      </w:tabs>
    </w:pPr>
  </w:style>
  <w:style w:type="character" w:customStyle="1" w:styleId="EncabezadoCar">
    <w:name w:val="Encabezado Car"/>
    <w:basedOn w:val="Fuentedeprrafopredeter"/>
    <w:link w:val="Encabezado"/>
    <w:uiPriority w:val="99"/>
    <w:semiHidden/>
    <w:rsid w:val="000A6EED"/>
  </w:style>
  <w:style w:type="paragraph" w:styleId="Piedepgina">
    <w:name w:val="footer"/>
    <w:basedOn w:val="Normal"/>
    <w:link w:val="PiedepginaCar"/>
    <w:uiPriority w:val="99"/>
    <w:semiHidden/>
    <w:unhideWhenUsed/>
    <w:rsid w:val="000A6EED"/>
    <w:pPr>
      <w:tabs>
        <w:tab w:val="center" w:pos="4680"/>
        <w:tab w:val="right" w:pos="9360"/>
      </w:tabs>
    </w:pPr>
  </w:style>
  <w:style w:type="character" w:customStyle="1" w:styleId="PiedepginaCar">
    <w:name w:val="Pie de página Car"/>
    <w:basedOn w:val="Fuentedeprrafopredeter"/>
    <w:link w:val="Piedepgina"/>
    <w:uiPriority w:val="99"/>
    <w:semiHidden/>
    <w:rsid w:val="000A6E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EBF3CF-C88B-4CF6-A56B-6A4387BC47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10</Pages>
  <Words>11809</Words>
  <Characters>64955</Characters>
  <Application>Microsoft Office Word</Application>
  <DocSecurity>0</DocSecurity>
  <Lines>541</Lines>
  <Paragraphs>153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76611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Padilla</dc:creator>
  <cp:keywords/>
  <cp:lastModifiedBy>oftalmounal@gmail.com</cp:lastModifiedBy>
  <cp:revision>3</cp:revision>
  <cp:lastPrinted>2019-10-14T19:54:00Z</cp:lastPrinted>
  <dcterms:created xsi:type="dcterms:W3CDTF">2019-10-14T20:18:00Z</dcterms:created>
  <dcterms:modified xsi:type="dcterms:W3CDTF">2019-10-14T20:22:00Z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a0b88123-6197-3e0e-bb40-ff38bd51975e</vt:lpwstr>
  </property>
  <property fmtid="{D5CDD505-2E9C-101B-9397-08002B2CF9AE}" pid="4" name="Mendeley Citation Style_1">
    <vt:lpwstr>http://www.zotero.org/styles/vancouver</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http://www.zotero.org/styles/modern-language-association</vt:lpwstr>
  </property>
  <property fmtid="{D5CDD505-2E9C-101B-9397-08002B2CF9AE}" pid="18" name="Mendeley Recent Style Name 6_1">
    <vt:lpwstr>Modern Language Association 8th edition</vt:lpwstr>
  </property>
  <property fmtid="{D5CDD505-2E9C-101B-9397-08002B2CF9AE}" pid="19" name="Mendeley Recent Style Id 7_1">
    <vt:lpwstr>http://www.zotero.org/styles/national-library-of-medicine</vt:lpwstr>
  </property>
  <property fmtid="{D5CDD505-2E9C-101B-9397-08002B2CF9AE}" pid="20" name="Mendeley Recent Style Name 7_1">
    <vt:lpwstr>National Library of Medicine</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